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126313</w:t>
      </w:r>
      <w:r>
        <w:rPr/>
        <w:t xml:space="preserve"> - </w:t>
      </w:r>
      <w:r>
        <w:rPr>
          <w:rStyle w:val="NAM"/>
        </w:rPr>
        <w:t>STADIUM AND ARENA BENCH SEATING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fixed, continuous bench- or plank-type metal seating.</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126100 "Fixed Audience Seating" for fixed chair-type seating.</w:t>
      </w:r>
    </w:p>
    <w:p>
      <w:pPr>
        <w:pStyle w:val="PR2"/>
        <w:numPr>
          <w:ilvl w:val="5"/>
          <w:numId w:val="1"/>
        </w:numPr>
        <w:ind w:hanging="0" w:left="0"/>
        <w:rPr/>
      </w:pPr>
      <w:r>
        <w:rPr/>
        <w:t>Section 126600 "Telescoping Stands" for multiple-tiered benches on interconnected folding platforms that close for storing.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components, and finishes for seating.</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recycled content.&gt;</w:t>
        </w:r>
      </w:hyperlink>
    </w:p>
    <w:p>
      <w:pPr>
        <w:pStyle w:val="PR1"/>
        <w:numPr>
          <w:ilvl w:val="4"/>
          <w:numId w:val="1"/>
        </w:numPr>
        <w:ind w:hanging="0" w:left="0"/>
        <w:rPr/>
      </w:pPr>
      <w:r>
        <w:rPr/>
        <w:t>Shop Drawings: For bench seating.</w:t>
      </w:r>
    </w:p>
    <w:p>
      <w:pPr>
        <w:pStyle w:val="PR2"/>
        <w:numPr>
          <w:ilvl w:val="5"/>
          <w:numId w:val="1"/>
        </w:numPr>
        <w:spacing w:before="240" w:after="0"/>
        <w:ind w:hanging="0" w:left="0"/>
        <w:rPr/>
      </w:pPr>
      <w:r>
        <w:rPr/>
        <w:t>Include plans, elevations, sections, details, and attachments to other work.</w:t>
      </w:r>
    </w:p>
    <w:p>
      <w:pPr>
        <w:pStyle w:val="PR2"/>
        <w:numPr>
          <w:ilvl w:val="5"/>
          <w:numId w:val="1"/>
        </w:numPr>
        <w:ind w:hanging="0" w:left="0"/>
        <w:rPr/>
      </w:pPr>
      <w:r>
        <w:rPr/>
        <w:t>Seating Layout: Show seating layout, aisle widths, aisle-end alignment or stepping, and row-lettering scheme.</w:t>
      </w:r>
    </w:p>
    <w:p>
      <w:pPr>
        <w:pStyle w:val="PR1"/>
        <w:numPr>
          <w:ilvl w:val="4"/>
          <w:numId w:val="1"/>
        </w:numPr>
        <w:ind w:hanging="0" w:left="0"/>
        <w:rPr/>
      </w:pPr>
      <w:r>
        <w:rPr/>
        <w:t>Samples for Initial Selection: For each type of exposed material, color, finish, and texture indicated.</w:t>
      </w:r>
    </w:p>
    <w:p>
      <w:pPr>
        <w:pStyle w:val="PR2"/>
        <w:numPr>
          <w:ilvl w:val="5"/>
          <w:numId w:val="1"/>
        </w:numPr>
        <w:spacing w:before="240" w:after="0"/>
        <w:ind w:hanging="0" w:left="0"/>
        <w:rPr/>
      </w:pPr>
      <w:r>
        <w:rPr/>
        <w:t>Include Samples of accessories involving color and finish selection.</w:t>
      </w:r>
    </w:p>
    <w:p>
      <w:pPr>
        <w:pStyle w:val="PR1"/>
        <w:numPr>
          <w:ilvl w:val="4"/>
          <w:numId w:val="1"/>
        </w:numPr>
        <w:ind w:hanging="0" w:left="0"/>
        <w:rPr/>
      </w:pPr>
      <w:r>
        <w:rPr/>
        <w:t>Samples for Verification: For each type of exposed finish, prepared on Samples of size indicated below:</w:t>
      </w:r>
    </w:p>
    <w:p>
      <w:pPr>
        <w:pStyle w:val="PR2"/>
        <w:numPr>
          <w:ilvl w:val="5"/>
          <w:numId w:val="1"/>
        </w:numPr>
        <w:spacing w:before="240" w:after="0"/>
        <w:ind w:hanging="0" w:left="0"/>
        <w:rPr/>
      </w:pPr>
      <w:r>
        <w:rPr/>
        <w:t xml:space="preserve">Aluminum Finishes: Manufacturer's standard-size unit, not less than </w:t>
      </w:r>
      <w:r>
        <w:rPr>
          <w:rStyle w:val="IP"/>
        </w:rPr>
        <w:t>3 inches</w:t>
      </w:r>
      <w:r>
        <w:rPr>
          <w:rStyle w:val="SI"/>
        </w:rPr>
        <w:t xml:space="preserve"> (75 mm)</w:t>
      </w:r>
      <w:r>
        <w:rPr/>
        <w:t xml:space="preserve"> square.</w:t>
      </w:r>
    </w:p>
    <w:p>
      <w:pPr>
        <w:pStyle w:val="PR2"/>
        <w:numPr>
          <w:ilvl w:val="5"/>
          <w:numId w:val="1"/>
        </w:numPr>
        <w:ind w:hanging="0" w:left="0"/>
        <w:rPr/>
      </w:pPr>
      <w:r>
        <w:rPr/>
        <w:t xml:space="preserve">Baked-on Coating Finishes: Manufacturer's standard-size unit, not less than </w:t>
      </w:r>
      <w:r>
        <w:rPr>
          <w:rStyle w:val="IP"/>
        </w:rPr>
        <w:t>3 inches</w:t>
      </w:r>
      <w:r>
        <w:rPr>
          <w:rStyle w:val="SI"/>
        </w:rPr>
        <w:t xml:space="preserve"> (75 mm)</w:t>
      </w:r>
      <w:r>
        <w:rPr/>
        <w:t xml:space="preserve"> square.</w:t>
      </w:r>
    </w:p>
    <w:p>
      <w:pPr>
        <w:pStyle w:val="PR2"/>
        <w:numPr>
          <w:ilvl w:val="5"/>
          <w:numId w:val="1"/>
        </w:numPr>
        <w:ind w:hanging="0" w:left="0"/>
        <w:rPr/>
      </w:pPr>
      <w:r>
        <w:rPr/>
        <w:t>Row-Letter Plates: Full-size units with characters marked.</w:t>
      </w:r>
    </w:p>
    <w:p>
      <w:pPr>
        <w:pStyle w:val="PR2"/>
        <w:numPr>
          <w:ilvl w:val="5"/>
          <w:numId w:val="1"/>
        </w:numPr>
        <w:ind w:hanging="0" w:left="0"/>
        <w:rPr/>
      </w:pPr>
      <w:r>
        <w:rPr/>
        <w:t>Seat-Number Plates: Full-size units with characters marked.</w:t>
      </w:r>
    </w:p>
    <w:p>
      <w:pPr>
        <w:pStyle w:val="PR2"/>
        <w:numPr>
          <w:ilvl w:val="5"/>
          <w:numId w:val="1"/>
        </w:numPr>
        <w:ind w:hanging="0" w:left="0"/>
        <w:rPr/>
      </w:pPr>
      <w:r>
        <w:rPr/>
        <w:t>Donor Plates: Full-size units.</w:t>
      </w:r>
    </w:p>
    <w:p>
      <w:pPr>
        <w:pStyle w:val="PR2"/>
        <w:numPr>
          <w:ilvl w:val="5"/>
          <w:numId w:val="1"/>
        </w:numPr>
        <w:ind w:hanging="0" w:left="0"/>
        <w:rPr/>
      </w:pPr>
      <w:r>
        <w:rPr/>
        <w:t>Exposed Fasteners: Full-size units of each type.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Installer</w:t>
      </w:r>
      <w:r>
        <w:rPr/>
        <w:t>] [</w:t>
      </w:r>
      <w:r>
        <w:rPr>
          <w:b/>
        </w:rPr>
        <w:t>and</w:t>
      </w:r>
      <w:r>
        <w:rPr/>
        <w:t>] [</w:t>
      </w:r>
      <w:r>
        <w:rPr>
          <w:b/>
        </w:rPr>
        <w:t>manufacturer</w:t>
      </w:r>
      <w:r>
        <w:rPr/>
        <w:t>].</w:t>
      </w:r>
    </w:p>
    <w:p>
      <w:pPr>
        <w:pStyle w:val="CMT"/>
        <w:rPr/>
      </w:pPr>
      <w:r>
        <w:rPr/>
        <w:t>Retain "Product Certificates" and "Material Certificates" paragraphs below to require submittal of certificates from manufacturers.</w:t>
      </w:r>
    </w:p>
    <w:p>
      <w:pPr>
        <w:pStyle w:val="PR1"/>
        <w:numPr>
          <w:ilvl w:val="4"/>
          <w:numId w:val="1"/>
        </w:numPr>
        <w:ind w:hanging="0" w:left="0"/>
        <w:rPr/>
      </w:pPr>
      <w:r>
        <w:rPr/>
        <w:t>Product Certificates: For each type of bench seating.</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Maintenance Data: For bench seating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from the same production run, that match products installed and that are packaged with protective covering for storage and identified with labels describing contents.</w:t>
      </w:r>
    </w:p>
    <w:p>
      <w:pPr>
        <w:pStyle w:val="CMT"/>
        <w:rPr/>
      </w:pPr>
      <w:r>
        <w:rPr/>
        <w:t>Revise list below to suit Project. Insert actual quantities rather than percentages when practical.</w:t>
      </w:r>
    </w:p>
    <w:p>
      <w:pPr>
        <w:pStyle w:val="PR2"/>
        <w:numPr>
          <w:ilvl w:val="5"/>
          <w:numId w:val="1"/>
        </w:numPr>
        <w:spacing w:before="240" w:after="0"/>
        <w:ind w:hanging="0" w:left="0"/>
        <w:rPr/>
      </w:pPr>
      <w:r>
        <w:rPr/>
        <w:t>Individual Seat Pads: [</w:t>
      </w:r>
      <w:r>
        <w:rPr>
          <w:b/>
        </w:rPr>
        <w:t>5</w:t>
      </w:r>
      <w:r>
        <w:rPr/>
        <w:t>] &lt;</w:t>
      </w:r>
      <w:r>
        <w:rPr>
          <w:b/>
        </w:rPr>
        <w:t>Insert number</w:t>
      </w:r>
      <w:r>
        <w:rPr/>
        <w:t>&gt; percent of quantity installed for each color.</w:t>
      </w:r>
    </w:p>
    <w:p>
      <w:pPr>
        <w:pStyle w:val="PR2"/>
        <w:numPr>
          <w:ilvl w:val="5"/>
          <w:numId w:val="1"/>
        </w:numPr>
        <w:ind w:hanging="0" w:left="0"/>
        <w:rPr/>
      </w:pPr>
      <w:r>
        <w:rPr/>
        <w:t>Individual Backrest Pads: [</w:t>
      </w:r>
      <w:r>
        <w:rPr>
          <w:b/>
        </w:rPr>
        <w:t>5</w:t>
      </w:r>
      <w:r>
        <w:rPr/>
        <w:t>] &lt;</w:t>
      </w:r>
      <w:r>
        <w:rPr>
          <w:b/>
        </w:rPr>
        <w:t>Insert number</w:t>
      </w:r>
      <w:r>
        <w:rPr/>
        <w:t>&gt; percent of quantity installed for each color.</w:t>
      </w:r>
    </w:p>
    <w:p>
      <w:pPr>
        <w:pStyle w:val="PR2"/>
        <w:numPr>
          <w:ilvl w:val="5"/>
          <w:numId w:val="1"/>
        </w:numPr>
        <w:ind w:hanging="0" w:left="0"/>
        <w:rPr/>
      </w:pPr>
      <w:r>
        <w:rPr/>
        <w:t>Row-Letter Plates: [</w:t>
      </w:r>
      <w:r>
        <w:rPr>
          <w:b/>
        </w:rPr>
        <w:t>100</w:t>
      </w:r>
      <w:r>
        <w:rPr/>
        <w:t>] &lt;</w:t>
      </w:r>
      <w:r>
        <w:rPr>
          <w:b/>
        </w:rPr>
        <w:t>Insert number</w:t>
      </w:r>
      <w:r>
        <w:rPr/>
        <w:t>&gt;, [</w:t>
      </w:r>
      <w:r>
        <w:rPr>
          <w:b/>
        </w:rPr>
        <w:t>blank</w:t>
      </w:r>
      <w:r>
        <w:rPr/>
        <w:t>] [</w:t>
      </w:r>
      <w:r>
        <w:rPr>
          <w:b/>
        </w:rPr>
        <w:t>with characters marked</w:t>
      </w:r>
      <w:r>
        <w:rPr/>
        <w:t>] &lt;</w:t>
      </w:r>
      <w:r>
        <w:rPr>
          <w:b/>
        </w:rPr>
        <w:t>Insert requirement</w:t>
      </w:r>
      <w:r>
        <w:rPr/>
        <w:t>&gt;.</w:t>
      </w:r>
    </w:p>
    <w:p>
      <w:pPr>
        <w:pStyle w:val="PR2"/>
        <w:numPr>
          <w:ilvl w:val="5"/>
          <w:numId w:val="1"/>
        </w:numPr>
        <w:ind w:hanging="0" w:left="0"/>
        <w:rPr/>
      </w:pPr>
      <w:r>
        <w:rPr/>
        <w:t>Seat-Number Plates: [</w:t>
      </w:r>
      <w:r>
        <w:rPr>
          <w:b/>
        </w:rPr>
        <w:t>100</w:t>
      </w:r>
      <w:r>
        <w:rPr/>
        <w:t>] &lt;</w:t>
      </w:r>
      <w:r>
        <w:rPr>
          <w:b/>
        </w:rPr>
        <w:t>Insert number</w:t>
      </w:r>
      <w:r>
        <w:rPr/>
        <w:t>&gt;, [</w:t>
      </w:r>
      <w:r>
        <w:rPr>
          <w:b/>
        </w:rPr>
        <w:t>blank</w:t>
      </w:r>
      <w:r>
        <w:rPr/>
        <w:t>] [</w:t>
      </w:r>
      <w:r>
        <w:rPr>
          <w:b/>
        </w:rPr>
        <w:t>with characters marked</w:t>
      </w:r>
      <w:r>
        <w:rPr/>
        <w:t>] &lt;</w:t>
      </w:r>
      <w:r>
        <w:rPr>
          <w:b/>
        </w:rPr>
        <w:t>Insert requirement</w:t>
      </w:r>
      <w:r>
        <w:rPr/>
        <w:t>&gt;.</w:t>
      </w:r>
    </w:p>
    <w:p>
      <w:pPr>
        <w:pStyle w:val="PR2"/>
        <w:numPr>
          <w:ilvl w:val="5"/>
          <w:numId w:val="1"/>
        </w:numPr>
        <w:ind w:hanging="0" w:left="0"/>
        <w:rPr/>
      </w:pPr>
      <w:r>
        <w:rPr/>
        <w:t>Donor Plates: [</w:t>
      </w:r>
      <w:r>
        <w:rPr>
          <w:b/>
        </w:rPr>
        <w:t>100</w:t>
      </w:r>
      <w:r>
        <w:rPr/>
        <w:t>] &lt;</w:t>
      </w:r>
      <w:r>
        <w:rPr>
          <w:b/>
        </w:rPr>
        <w:t>Insert number</w:t>
      </w:r>
      <w:r>
        <w:rPr/>
        <w:t>&gt;, blank.</w:t>
      </w:r>
    </w:p>
    <w:p>
      <w:pPr>
        <w:pStyle w:val="ART"/>
        <w:numPr>
          <w:ilvl w:val="3"/>
          <w:numId w:val="1"/>
        </w:numPr>
        <w:ind w:hanging="0" w:left="0"/>
        <w:rPr/>
      </w:pPr>
      <w:r>
        <w:rPr/>
        <w:t>QUALITY ASSURANCE</w:t>
      </w:r>
    </w:p>
    <w:p>
      <w:pPr>
        <w:pStyle w:val="CMT"/>
        <w:rPr/>
      </w:pPr>
      <w:r>
        <w:rPr/>
        <w:t>Manufacturer may require "Installer Qualifications" Paragraph below as a condition of warranty.</w:t>
      </w:r>
    </w:p>
    <w:p>
      <w:pPr>
        <w:pStyle w:val="PR1"/>
        <w:numPr>
          <w:ilvl w:val="4"/>
          <w:numId w:val="1"/>
        </w:numPr>
        <w:ind w:hanging="0" w:left="0"/>
        <w:rPr/>
      </w:pPr>
      <w:r>
        <w:rPr/>
        <w:t>Installer Qualifications: An entity that employs installers and supervisors who are trained and approved by manufacturer.</w:t>
      </w:r>
    </w:p>
    <w:p>
      <w:pPr>
        <w:pStyle w:val="PR1"/>
        <w:numPr>
          <w:ilvl w:val="4"/>
          <w:numId w:val="1"/>
        </w:numPr>
        <w:ind w:hanging="0" w:left="0"/>
        <w:rPr/>
      </w:pPr>
      <w:r>
        <w:rPr/>
        <w:t>Mockups: Build mockups to verify selections made under Sample submittals, to demonstrate aesthetic effects, and to set quality standards for fabrication and installation.</w:t>
      </w:r>
    </w:p>
    <w:p>
      <w:pPr>
        <w:pStyle w:val="CMT"/>
        <w:rPr/>
      </w:pPr>
      <w:r>
        <w:rPr/>
        <w:t>Indicate portion of seating represented by mockup on Drawings or draw mockup as separate element.</w:t>
      </w:r>
    </w:p>
    <w:p>
      <w:pPr>
        <w:pStyle w:val="PR2"/>
        <w:numPr>
          <w:ilvl w:val="5"/>
          <w:numId w:val="1"/>
        </w:numPr>
        <w:spacing w:before="240" w:after="0"/>
        <w:ind w:hanging="0" w:left="0"/>
        <w:rPr/>
      </w:pPr>
      <w:r>
        <w:rPr/>
        <w:t>Build mockups of [</w:t>
      </w:r>
      <w:r>
        <w:rPr>
          <w:b/>
        </w:rPr>
        <w:t>area of bench seating indicated on Drawings</w:t>
      </w:r>
      <w:r>
        <w:rPr/>
        <w:t>] &lt;</w:t>
      </w:r>
      <w:r>
        <w:rPr>
          <w:b/>
        </w:rPr>
        <w:t>Insert requirement</w:t>
      </w:r>
      <w:r>
        <w:rPr/>
        <w:t>&gt;, including finishes and accessories.</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bench seating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CMT"/>
        <w:rPr/>
      </w:pPr>
      <w:r>
        <w:rPr/>
        <w:t>Revise list below to suit Project.</w:t>
      </w:r>
    </w:p>
    <w:p>
      <w:pPr>
        <w:pStyle w:val="PR3"/>
        <w:numPr>
          <w:ilvl w:val="6"/>
          <w:numId w:val="1"/>
        </w:numPr>
        <w:spacing w:before="240" w:after="0"/>
        <w:ind w:hanging="0" w:left="0"/>
        <w:rPr/>
      </w:pPr>
      <w:r>
        <w:rPr/>
        <w:t>Structural failures including bench seating and attached components.</w:t>
      </w:r>
    </w:p>
    <w:p>
      <w:pPr>
        <w:pStyle w:val="PR3"/>
        <w:numPr>
          <w:ilvl w:val="6"/>
          <w:numId w:val="1"/>
        </w:numPr>
        <w:ind w:hanging="0" w:left="0"/>
        <w:rPr/>
      </w:pPr>
      <w:r>
        <w:rPr/>
        <w:t>Deterioration of metals, metal finishes, and other materials beyond normal weathering and use.</w:t>
      </w:r>
    </w:p>
    <w:p>
      <w:pPr>
        <w:pStyle w:val="PR3"/>
        <w:numPr>
          <w:ilvl w:val="6"/>
          <w:numId w:val="1"/>
        </w:numPr>
        <w:ind w:hanging="0" w:left="0"/>
        <w:rPr/>
      </w:pPr>
      <w:r>
        <w:rPr/>
        <w:t>&lt;</w:t>
      </w:r>
      <w:r>
        <w:rPr>
          <w:b/>
        </w:rPr>
        <w:t>Insert failure modes</w:t>
      </w:r>
      <w:r>
        <w:rPr/>
        <w:t>&gt;.</w:t>
      </w:r>
    </w:p>
    <w:p>
      <w:pPr>
        <w:pStyle w:val="CMT"/>
        <w:rPr/>
      </w:pPr>
      <w:r>
        <w:rPr/>
        <w:t>Verify available warranties and warranty periods for seating and components.</w:t>
      </w:r>
    </w:p>
    <w:p>
      <w:pPr>
        <w:pStyle w:val="PR2"/>
        <w:numPr>
          <w:ilvl w:val="5"/>
          <w:numId w:val="1"/>
        </w:numPr>
        <w:spacing w:before="240" w:after="0"/>
        <w:ind w:hanging="0" w:left="0"/>
        <w:rPr/>
      </w:pPr>
      <w:r>
        <w:rPr/>
        <w:t>Warranty Periods: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r>
        <w:rPr/>
        <w:t>Source Limitations: Obtain each type of bench seating required, including accessories and mounting components, from single source from single manufacturer.</w:t>
      </w:r>
    </w:p>
    <w:p>
      <w:pPr>
        <w:pStyle w:val="ART"/>
        <w:numPr>
          <w:ilvl w:val="3"/>
          <w:numId w:val="1"/>
        </w:numPr>
        <w:ind w:hanging="0" w:left="0"/>
        <w:rPr/>
      </w:pPr>
      <w:r>
        <w:rPr/>
        <w:t>PERFORMANCE REQUIREMENTS</w:t>
      </w:r>
    </w:p>
    <w:p>
      <w:pPr>
        <w:pStyle w:val="PR1"/>
        <w:numPr>
          <w:ilvl w:val="4"/>
          <w:numId w:val="1"/>
        </w:numPr>
        <w:ind w:hanging="0" w:left="0"/>
        <w:rPr/>
      </w:pPr>
      <w:r>
        <w:rPr/>
        <w:t>Structural Performance: Bench seating shall withstand the effects of gravity and other loads within limits and under conditions indicated.</w:t>
      </w:r>
    </w:p>
    <w:p>
      <w:pPr>
        <w:pStyle w:val="CMT"/>
        <w:rPr/>
      </w:pPr>
      <w:r>
        <w:rPr/>
        <w:t>Subparagraphs below are examples only; revise to suit Project and to comply with requirements of authorities having jurisdiction.</w:t>
      </w:r>
    </w:p>
    <w:p>
      <w:pPr>
        <w:pStyle w:val="PR2"/>
        <w:numPr>
          <w:ilvl w:val="5"/>
          <w:numId w:val="1"/>
        </w:numPr>
        <w:spacing w:before="240" w:after="0"/>
        <w:ind w:hanging="0" w:left="0"/>
        <w:rPr/>
      </w:pPr>
      <w:r>
        <w:rPr/>
        <w:t>Vertical Live Load: [</w:t>
      </w:r>
      <w:r>
        <w:rPr>
          <w:rStyle w:val="IP"/>
          <w:b/>
        </w:rPr>
        <w:t>120 lb/ft.</w:t>
      </w:r>
      <w:r>
        <w:rPr>
          <w:rStyle w:val="SI"/>
          <w:b/>
        </w:rPr>
        <w:t xml:space="preserve"> (179 kg/m)</w:t>
      </w:r>
      <w:r>
        <w:rPr/>
        <w:t>] [</w:t>
      </w:r>
      <w:r>
        <w:rPr>
          <w:b/>
        </w:rPr>
        <w:t>As indicated on Drawings</w:t>
      </w:r>
      <w:r>
        <w:rPr/>
        <w:t>] &lt;</w:t>
      </w:r>
      <w:r>
        <w:rPr>
          <w:b/>
        </w:rPr>
        <w:t>Insert load</w:t>
      </w:r>
      <w:r>
        <w:rPr/>
        <w:t>&gt;.</w:t>
      </w:r>
    </w:p>
    <w:p>
      <w:pPr>
        <w:pStyle w:val="PR2"/>
        <w:numPr>
          <w:ilvl w:val="5"/>
          <w:numId w:val="1"/>
        </w:numPr>
        <w:ind w:hanging="0" w:left="0"/>
        <w:rPr/>
      </w:pPr>
      <w:r>
        <w:rPr/>
        <w:t>Horizontal Sway Loads: [</w:t>
      </w:r>
      <w:r>
        <w:rPr>
          <w:rStyle w:val="IP"/>
          <w:b/>
        </w:rPr>
        <w:t>24 lb/ft.</w:t>
      </w:r>
      <w:r>
        <w:rPr>
          <w:rStyle w:val="SI"/>
          <w:b/>
        </w:rPr>
        <w:t xml:space="preserve"> (36 kg/m)</w:t>
      </w:r>
      <w:r>
        <w:rPr>
          <w:b/>
        </w:rPr>
        <w:t xml:space="preserve"> parallel to bench and </w:t>
      </w:r>
      <w:r>
        <w:rPr>
          <w:rStyle w:val="IP"/>
          <w:b/>
        </w:rPr>
        <w:t>10 lb/ft.</w:t>
      </w:r>
      <w:r>
        <w:rPr>
          <w:rStyle w:val="SI"/>
          <w:b/>
        </w:rPr>
        <w:t xml:space="preserve"> (15 kg/m)</w:t>
      </w:r>
      <w:r>
        <w:rPr>
          <w:b/>
        </w:rPr>
        <w:t xml:space="preserve"> perpendicular to bench</w:t>
      </w:r>
      <w:r>
        <w:rPr/>
        <w:t>] [</w:t>
      </w:r>
      <w:r>
        <w:rPr>
          <w:b/>
        </w:rPr>
        <w:t>As indicated on Drawings</w:t>
      </w:r>
      <w:r>
        <w:rPr/>
        <w:t>] &lt;</w:t>
      </w:r>
      <w:r>
        <w:rPr>
          <w:b/>
        </w:rPr>
        <w:t>Insert loads</w:t>
      </w:r>
      <w:r>
        <w:rPr/>
        <w:t>&gt;.</w:t>
      </w:r>
    </w:p>
    <w:p>
      <w:pPr>
        <w:pStyle w:val="PR1"/>
        <w:numPr>
          <w:ilvl w:val="4"/>
          <w:numId w:val="1"/>
        </w:numPr>
        <w:ind w:hanging="0" w:left="0"/>
        <w:rPr/>
      </w:pPr>
      <w:r>
        <w:rPr/>
        <w:t>Thermal Movements: Allow for thermal movements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ind w:hanging="0" w:left="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ART"/>
        <w:numPr>
          <w:ilvl w:val="3"/>
          <w:numId w:val="1"/>
        </w:numPr>
        <w:ind w:hanging="0" w:left="0"/>
        <w:rPr/>
      </w:pPr>
      <w:r>
        <w:rPr/>
        <w:t>BENCH SEATING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Description: [</w:t>
      </w:r>
      <w:r>
        <w:rPr>
          <w:b/>
        </w:rPr>
        <w:t>Plank-type seating in permanent arrangement</w:t>
      </w:r>
      <w:r>
        <w:rPr/>
        <w:t>] &lt;</w:t>
      </w:r>
      <w:r>
        <w:rPr>
          <w:b/>
        </w:rPr>
        <w:t>Insert description</w:t>
      </w:r>
      <w:r>
        <w:rPr/>
        <w:t>&gt; as indicated on Drawings.</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CMT"/>
        <w:rPr/>
      </w:pPr>
      <w:r>
        <w:rPr/>
        <w:t>Available options in "Seat Planks," "Backrest," "Seat-Plank Support Brackets," and "Backrest Brackets" paragraphs below vary with manufacturer; revise to suit Project.</w:t>
      </w:r>
    </w:p>
    <w:p>
      <w:pPr>
        <w:pStyle w:val="PR1"/>
        <w:numPr>
          <w:ilvl w:val="4"/>
          <w:numId w:val="1"/>
        </w:numPr>
        <w:ind w:hanging="0" w:left="0"/>
        <w:rPr/>
      </w:pPr>
      <w:r>
        <w:rPr/>
        <w:t>Seat Planks: Horizontal, continuous bench components on which spectators sit.</w:t>
      </w:r>
    </w:p>
    <w:p>
      <w:pPr>
        <w:pStyle w:val="PR2"/>
        <w:numPr>
          <w:ilvl w:val="5"/>
          <w:numId w:val="1"/>
        </w:numPr>
        <w:spacing w:before="240" w:after="0"/>
        <w:ind w:hanging="0" w:left="0"/>
        <w:rPr/>
      </w:pPr>
      <w:r>
        <w:rPr/>
        <w:t>Material: One-piece [</w:t>
      </w:r>
      <w:r>
        <w:rPr>
          <w:b/>
        </w:rPr>
        <w:t>fluted</w:t>
      </w:r>
      <w:r>
        <w:rPr/>
        <w:t>] [</w:t>
      </w:r>
      <w:r>
        <w:rPr>
          <w:b/>
        </w:rPr>
        <w:t>and</w:t>
      </w:r>
      <w:r>
        <w:rPr/>
        <w:t>] [</w:t>
      </w:r>
      <w:r>
        <w:rPr>
          <w:b/>
        </w:rPr>
        <w:t>contoured</w:t>
      </w:r>
      <w:r>
        <w:rPr/>
        <w:t>] aluminum extrusion, approximately [</w:t>
      </w:r>
      <w:r>
        <w:rPr>
          <w:rStyle w:val="IP"/>
          <w:b/>
        </w:rPr>
        <w:t>12 inches wide by 1-1/2 inches thick</w:t>
      </w:r>
      <w:r>
        <w:rPr>
          <w:rStyle w:val="SI"/>
          <w:b/>
        </w:rPr>
        <w:t xml:space="preserve"> (300 mm wide by 40 mm thick)</w:t>
      </w:r>
      <w:r>
        <w:rPr/>
        <w:t>] [</w:t>
      </w:r>
      <w:r>
        <w:rPr>
          <w:rStyle w:val="IP"/>
          <w:b/>
        </w:rPr>
        <w:t>10 inches wide by 1-1/2 inches thick</w:t>
      </w:r>
      <w:r>
        <w:rPr>
          <w:rStyle w:val="SI"/>
          <w:b/>
        </w:rPr>
        <w:t xml:space="preserve"> (250 mm wide by 40 mm thick)</w:t>
      </w:r>
      <w:r>
        <w:rPr/>
        <w:t>] &lt;</w:t>
      </w:r>
      <w:r>
        <w:rPr>
          <w:b/>
        </w:rPr>
        <w:t>Insert dimensions</w:t>
      </w:r>
      <w:r>
        <w:rPr/>
        <w:t>&gt;.</w:t>
      </w:r>
    </w:p>
    <w:p>
      <w:pPr>
        <w:pStyle w:val="PR2"/>
        <w:numPr>
          <w:ilvl w:val="5"/>
          <w:numId w:val="1"/>
        </w:numPr>
        <w:ind w:hanging="0" w:left="0"/>
        <w:rPr/>
      </w:pPr>
      <w:r>
        <w:rPr/>
        <w:t>Finish: [</w:t>
      </w:r>
      <w:r>
        <w:rPr>
          <w:b/>
        </w:rPr>
        <w:t>Clear anodic</w:t>
      </w:r>
      <w:r>
        <w:rPr/>
        <w:t>] [</w:t>
      </w:r>
      <w:r>
        <w:rPr>
          <w:b/>
        </w:rPr>
        <w:t>Baked-enamel or powder-coat</w:t>
      </w:r>
      <w:r>
        <w:rPr/>
        <w:t>] [</w:t>
      </w:r>
      <w:r>
        <w:rPr>
          <w:b/>
        </w:rPr>
        <w:t>High-performance organic</w:t>
      </w:r>
      <w:r>
        <w:rPr/>
        <w:t>] finish.</w:t>
      </w:r>
    </w:p>
    <w:p>
      <w:pPr>
        <w:pStyle w:val="CMT"/>
        <w:rPr/>
      </w:pPr>
      <w:r>
        <w:rPr/>
        <w:t>Retain "Color and Gloss" Subparagraph below if baked-enamel, powder-coat, or high-performance organic finish is required.</w:t>
      </w:r>
    </w:p>
    <w:p>
      <w:pPr>
        <w:pStyle w:val="PR3"/>
        <w:numPr>
          <w:ilvl w:val="6"/>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2"/>
        <w:numPr>
          <w:ilvl w:val="5"/>
          <w:numId w:val="1"/>
        </w:numPr>
        <w:spacing w:before="240" w:after="0"/>
        <w:ind w:hanging="0" w:left="0"/>
        <w:rPr/>
      </w:pPr>
      <w:r>
        <w:rPr/>
        <w:t>End-Cap Finish: [</w:t>
      </w:r>
      <w:r>
        <w:rPr>
          <w:b/>
        </w:rPr>
        <w:t>Clear anodic finish</w:t>
      </w:r>
      <w:r>
        <w:rPr/>
        <w:t>] [</w:t>
      </w:r>
      <w:r>
        <w:rPr>
          <w:b/>
        </w:rPr>
        <w:t>Match seat planks</w:t>
      </w:r>
      <w:r>
        <w:rPr/>
        <w:t>] &lt;</w:t>
      </w:r>
      <w:r>
        <w:rPr>
          <w:b/>
        </w:rPr>
        <w:t>Insert requirement</w:t>
      </w:r>
      <w:r>
        <w:rPr/>
        <w:t>&gt;.</w:t>
      </w:r>
    </w:p>
    <w:p>
      <w:pPr>
        <w:pStyle w:val="PR1"/>
        <w:numPr>
          <w:ilvl w:val="4"/>
          <w:numId w:val="1"/>
        </w:numPr>
        <w:ind w:hanging="0" w:left="0"/>
        <w:rPr/>
      </w:pPr>
      <w:r>
        <w:rPr/>
        <w:t>Backrest: Bracket mounted to underside of the seat planks.</w:t>
      </w:r>
    </w:p>
    <w:p>
      <w:pPr>
        <w:pStyle w:val="PR2"/>
        <w:numPr>
          <w:ilvl w:val="5"/>
          <w:numId w:val="1"/>
        </w:numPr>
        <w:spacing w:before="240" w:after="0"/>
        <w:ind w:hanging="0" w:left="0"/>
        <w:rPr/>
      </w:pPr>
      <w:r>
        <w:rPr/>
        <w:t>Material: One-piece[</w:t>
      </w:r>
      <w:r>
        <w:rPr>
          <w:b/>
        </w:rPr>
        <w:t> contoured</w:t>
      </w:r>
      <w:r>
        <w:rPr/>
        <w:t>] aluminum extrusion, approximately [</w:t>
      </w:r>
      <w:r>
        <w:rPr>
          <w:rStyle w:val="IP"/>
          <w:b/>
        </w:rPr>
        <w:t>5-1/2 inches high by 1-1/2 inches thick</w:t>
      </w:r>
      <w:r>
        <w:rPr>
          <w:rStyle w:val="SI"/>
          <w:b/>
        </w:rPr>
        <w:t xml:space="preserve"> (140 mm high by 50 mm thick)</w:t>
      </w:r>
      <w:r>
        <w:rPr/>
        <w:t>] &lt;</w:t>
      </w:r>
      <w:r>
        <w:rPr>
          <w:b/>
        </w:rPr>
        <w:t>Insert dimensions</w:t>
      </w:r>
      <w:r>
        <w:rPr/>
        <w:t>&gt;.</w:t>
      </w:r>
    </w:p>
    <w:p>
      <w:pPr>
        <w:pStyle w:val="PR2"/>
        <w:numPr>
          <w:ilvl w:val="5"/>
          <w:numId w:val="1"/>
        </w:numPr>
        <w:ind w:hanging="0" w:left="0"/>
        <w:rPr/>
      </w:pPr>
      <w:r>
        <w:rPr/>
        <w:t>Finish: [</w:t>
      </w:r>
      <w:r>
        <w:rPr>
          <w:b/>
        </w:rPr>
        <w:t>Clear anodic</w:t>
      </w:r>
      <w:r>
        <w:rPr/>
        <w:t>] [</w:t>
      </w:r>
      <w:r>
        <w:rPr>
          <w:b/>
        </w:rPr>
        <w:t>Baked-enamel or powder-coat</w:t>
      </w:r>
      <w:r>
        <w:rPr/>
        <w:t>] [</w:t>
      </w:r>
      <w:r>
        <w:rPr>
          <w:b/>
        </w:rPr>
        <w:t>High-performance organic</w:t>
      </w:r>
      <w:r>
        <w:rPr/>
        <w:t>] finish.</w:t>
      </w:r>
    </w:p>
    <w:p>
      <w:pPr>
        <w:pStyle w:val="CMT"/>
        <w:rPr/>
      </w:pPr>
      <w:r>
        <w:rPr/>
        <w:t>Retain "Color and Gloss" Subparagraph below if baked-enamel, powder-coat, or high-performance organic finish is required.</w:t>
      </w:r>
    </w:p>
    <w:p>
      <w:pPr>
        <w:pStyle w:val="PR3"/>
        <w:numPr>
          <w:ilvl w:val="6"/>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2"/>
        <w:numPr>
          <w:ilvl w:val="5"/>
          <w:numId w:val="1"/>
        </w:numPr>
        <w:spacing w:before="240" w:after="0"/>
        <w:ind w:hanging="0" w:left="0"/>
        <w:rPr/>
      </w:pPr>
      <w:r>
        <w:rPr/>
        <w:t>End-Cap Finish: [</w:t>
      </w:r>
      <w:r>
        <w:rPr>
          <w:b/>
        </w:rPr>
        <w:t>Clear anodic finish</w:t>
      </w:r>
      <w:r>
        <w:rPr/>
        <w:t>] [</w:t>
      </w:r>
      <w:r>
        <w:rPr>
          <w:b/>
        </w:rPr>
        <w:t>Match seat planks</w:t>
      </w:r>
      <w:r>
        <w:rPr/>
        <w:t>] &lt;</w:t>
      </w:r>
      <w:r>
        <w:rPr>
          <w:b/>
        </w:rPr>
        <w:t>Insert requirement</w:t>
      </w:r>
      <w:r>
        <w:rPr/>
        <w:t>&gt;.</w:t>
      </w:r>
    </w:p>
    <w:p>
      <w:pPr>
        <w:pStyle w:val="PR1"/>
        <w:numPr>
          <w:ilvl w:val="4"/>
          <w:numId w:val="1"/>
        </w:numPr>
        <w:ind w:hanging="0" w:left="0"/>
        <w:rPr/>
      </w:pPr>
      <w:r>
        <w:rPr/>
        <w:t>Seat-Plank Support Brackets: Manufacturer's standard one-piece, [</w:t>
      </w:r>
      <w:r>
        <w:rPr>
          <w:b/>
        </w:rPr>
        <w:t>welded-aluminum</w:t>
      </w:r>
      <w:r>
        <w:rPr/>
        <w:t>] [</w:t>
      </w:r>
      <w:r>
        <w:rPr>
          <w:b/>
        </w:rPr>
        <w:t>or</w:t>
      </w:r>
      <w:r>
        <w:rPr/>
        <w:t>] [</w:t>
      </w:r>
      <w:r>
        <w:rPr>
          <w:b/>
        </w:rPr>
        <w:t>welded-steel</w:t>
      </w:r>
      <w:r>
        <w:rPr/>
        <w:t>] brackets that support and raise the seating off the supporting substrate, as indicated on Drawings.</w:t>
      </w:r>
    </w:p>
    <w:p>
      <w:pPr>
        <w:pStyle w:val="CMT"/>
        <w:rPr/>
      </w:pPr>
      <w:r>
        <w:rPr/>
        <w:t>Retain one option in "Type" Subparagraph below; revise to suit Project. Availability of each type may vary with manufacturer.</w:t>
      </w:r>
    </w:p>
    <w:p>
      <w:pPr>
        <w:pStyle w:val="PR2"/>
        <w:numPr>
          <w:ilvl w:val="5"/>
          <w:numId w:val="1"/>
        </w:numPr>
        <w:spacing w:before="240" w:after="0"/>
        <w:ind w:hanging="0" w:left="0"/>
        <w:rPr/>
      </w:pPr>
      <w:r>
        <w:rPr/>
        <w:t>Type: [</w:t>
      </w:r>
      <w:r>
        <w:rPr>
          <w:b/>
        </w:rPr>
        <w:t>Floor-attached brackets</w:t>
      </w:r>
      <w:r>
        <w:rPr/>
        <w:t>] [</w:t>
      </w:r>
      <w:r>
        <w:rPr>
          <w:b/>
        </w:rPr>
        <w:t>L-shaped, riser-mounted brackets to align back of seat plank with riser face</w:t>
      </w:r>
      <w:r>
        <w:rPr/>
        <w:t>] [</w:t>
      </w:r>
      <w:r>
        <w:rPr>
          <w:b/>
        </w:rPr>
        <w:t>T-shaped, riser-mounted brackets to center the seat plank over the riser face</w:t>
      </w:r>
      <w:r>
        <w:rPr/>
        <w:t>] [</w:t>
      </w:r>
      <w:r>
        <w:rPr>
          <w:b/>
        </w:rPr>
        <w:t>Z-shaped, horizontal-surface brackets</w:t>
      </w:r>
      <w:r>
        <w:rPr/>
        <w:t>] &lt;</w:t>
      </w:r>
      <w:r>
        <w:rPr>
          <w:b/>
        </w:rPr>
        <w:t>Insert requirement</w:t>
      </w:r>
      <w:r>
        <w:rPr/>
        <w:t>&gt;.</w:t>
      </w:r>
    </w:p>
    <w:p>
      <w:pPr>
        <w:pStyle w:val="PR2"/>
        <w:numPr>
          <w:ilvl w:val="5"/>
          <w:numId w:val="1"/>
        </w:numPr>
        <w:ind w:hanging="0" w:left="0"/>
        <w:rPr/>
      </w:pPr>
      <w:r>
        <w:rPr/>
        <w:t>Finish of Visible Surfaces: [</w:t>
      </w:r>
      <w:r>
        <w:rPr>
          <w:b/>
        </w:rPr>
        <w:t>Match seat planks</w:t>
      </w:r>
      <w:r>
        <w:rPr/>
        <w:t>] &lt;</w:t>
      </w:r>
      <w:r>
        <w:rPr>
          <w:b/>
        </w:rPr>
        <w:t>Insert requirement</w:t>
      </w:r>
      <w:r>
        <w:rPr/>
        <w:t>&gt;.</w:t>
      </w:r>
    </w:p>
    <w:p>
      <w:pPr>
        <w:pStyle w:val="PR1"/>
        <w:numPr>
          <w:ilvl w:val="4"/>
          <w:numId w:val="1"/>
        </w:numPr>
        <w:ind w:hanging="0" w:left="0"/>
        <w:rPr/>
      </w:pPr>
      <w:r>
        <w:rPr/>
        <w:t>Backrest Brackets: Manufacturer's standard one-piece, extruded- and formed-aluminum brackets that connect the backrest to underside of the seat planks, as indicated on Drawings.</w:t>
      </w:r>
    </w:p>
    <w:p>
      <w:pPr>
        <w:pStyle w:val="PR2"/>
        <w:numPr>
          <w:ilvl w:val="5"/>
          <w:numId w:val="1"/>
        </w:numPr>
        <w:spacing w:before="240" w:after="0"/>
        <w:ind w:hanging="0" w:left="0"/>
        <w:rPr/>
      </w:pPr>
      <w:r>
        <w:rPr/>
        <w:t>Provide with[</w:t>
      </w:r>
      <w:r>
        <w:rPr>
          <w:b/>
        </w:rPr>
        <w:t> tightly fitting end caps</w:t>
      </w:r>
      <w:r>
        <w:rPr/>
        <w:t>] and internal reinforcement, as required for secure attachment to backrest and underside of seat planks.</w:t>
      </w:r>
    </w:p>
    <w:p>
      <w:pPr>
        <w:pStyle w:val="PR2"/>
        <w:numPr>
          <w:ilvl w:val="5"/>
          <w:numId w:val="1"/>
        </w:numPr>
        <w:ind w:hanging="0" w:left="0"/>
        <w:rPr/>
      </w:pPr>
      <w:r>
        <w:rPr/>
        <w:t>Finish of Visible Surfaces: [</w:t>
      </w:r>
      <w:r>
        <w:rPr>
          <w:b/>
        </w:rPr>
        <w:t>Match backrest</w:t>
      </w:r>
      <w:r>
        <w:rPr/>
        <w:t>] [</w:t>
      </w:r>
      <w:r>
        <w:rPr>
          <w:b/>
        </w:rPr>
        <w:t>Match seat planks</w:t>
      </w:r>
      <w:r>
        <w:rPr/>
        <w:t>] &lt;</w:t>
      </w:r>
      <w:r>
        <w:rPr>
          <w:b/>
        </w:rPr>
        <w:t>Insert requirement</w:t>
      </w:r>
      <w:r>
        <w:rPr/>
        <w:t>&gt;.</w:t>
      </w:r>
    </w:p>
    <w:p>
      <w:pPr>
        <w:pStyle w:val="PR1"/>
        <w:numPr>
          <w:ilvl w:val="4"/>
          <w:numId w:val="1"/>
        </w:numPr>
        <w:ind w:hanging="0" w:left="0"/>
        <w:rPr/>
      </w:pPr>
      <w:r>
        <w:rPr/>
        <w:t>Individual Seat Pads: Manufacturer's standard molded-plastic units with smoothly rolled edges, reinforcing ribs on underside to prevent deflection and strengthen attachment points, and designed for attachment to seat plank.</w:t>
      </w:r>
    </w:p>
    <w:p>
      <w:pPr>
        <w:pStyle w:val="PR1"/>
        <w:numPr>
          <w:ilvl w:val="4"/>
          <w:numId w:val="1"/>
        </w:numPr>
        <w:ind w:hanging="0" w:left="0"/>
        <w:rPr/>
      </w:pPr>
      <w:r>
        <w:rPr/>
        <w:t>Individual Backrest Pads: Manufacturer's standard UV-resistant, molded-plastic units with smoothly rolled edges, reinforcing ribs on underside to prevent deflection and strengthen attachment points, and designed for attachment to backrest.</w:t>
      </w:r>
    </w:p>
    <w:p>
      <w:pPr>
        <w:pStyle w:val="ART"/>
        <w:numPr>
          <w:ilvl w:val="3"/>
          <w:numId w:val="1"/>
        </w:numPr>
        <w:ind w:hanging="0" w:left="0"/>
        <w:rPr/>
      </w:pPr>
      <w:r>
        <w:rPr/>
        <w:t>ACCESSORIES</w:t>
      </w:r>
    </w:p>
    <w:p>
      <w:pPr>
        <w:pStyle w:val="CMT"/>
        <w:rPr/>
      </w:pPr>
      <w:r>
        <w:rPr/>
        <w:t>Retain "Row-Letter Plates," "Seat-Number Plates," and "Donor Plates" paragraphs below, if required and attached to the seating; revise to suit Project. Availability varies with manufacturer.</w:t>
      </w:r>
    </w:p>
    <w:p>
      <w:pPr>
        <w:pStyle w:val="PR1"/>
        <w:numPr>
          <w:ilvl w:val="4"/>
          <w:numId w:val="1"/>
        </w:numPr>
        <w:ind w:hanging="0" w:left="0"/>
        <w:rPr/>
      </w:pPr>
      <w:r>
        <w:rPr/>
        <w:t>Row-Letter Plates: [</w:t>
      </w:r>
      <w:r>
        <w:rPr>
          <w:b/>
        </w:rPr>
        <w:t>Manufacturer's standard</w:t>
      </w:r>
      <w:r>
        <w:rPr/>
        <w:t>] &lt;</w:t>
      </w:r>
      <w:r>
        <w:rPr>
          <w:b/>
        </w:rPr>
        <w:t>Insert description</w:t>
      </w:r>
      <w:r>
        <w:rPr/>
        <w:t>&gt;.</w:t>
      </w:r>
    </w:p>
    <w:p>
      <w:pPr>
        <w:pStyle w:val="PR2"/>
        <w:numPr>
          <w:ilvl w:val="5"/>
          <w:numId w:val="1"/>
        </w:numPr>
        <w:spacing w:before="240" w:after="0"/>
        <w:ind w:hanging="0" w:left="0"/>
        <w:rPr/>
      </w:pPr>
      <w:r>
        <w:rPr/>
        <w:t>Material: Clear-anodized aluminum with black[</w:t>
      </w:r>
      <w:r>
        <w:rPr>
          <w:b/>
        </w:rPr>
        <w:t> embossed</w:t>
      </w:r>
      <w:r>
        <w:rPr/>
        <w:t>] characters .</w:t>
      </w:r>
    </w:p>
    <w:p>
      <w:pPr>
        <w:pStyle w:val="PR2"/>
        <w:numPr>
          <w:ilvl w:val="5"/>
          <w:numId w:val="1"/>
        </w:numPr>
        <w:ind w:hanging="0" w:left="0"/>
        <w:rPr/>
      </w:pPr>
      <w:r>
        <w:rPr/>
        <w:t>Location: [</w:t>
      </w:r>
      <w:r>
        <w:rPr>
          <w:b/>
        </w:rPr>
        <w:t>As indicated on Drawings</w:t>
      </w:r>
      <w:r>
        <w:rPr/>
        <w:t>] [</w:t>
      </w:r>
      <w:r>
        <w:rPr>
          <w:b/>
        </w:rPr>
        <w:t>On aisle end of seat plank</w:t>
      </w:r>
      <w:r>
        <w:rPr/>
        <w:t>] &lt;</w:t>
      </w:r>
      <w:r>
        <w:rPr>
          <w:b/>
        </w:rPr>
        <w:t>Insert requirement</w:t>
      </w:r>
      <w:r>
        <w:rPr/>
        <w:t>&gt;.</w:t>
      </w:r>
    </w:p>
    <w:p>
      <w:pPr>
        <w:pStyle w:val="PR2"/>
        <w:numPr>
          <w:ilvl w:val="5"/>
          <w:numId w:val="1"/>
        </w:numPr>
        <w:ind w:hanging="0" w:left="0"/>
        <w:rPr/>
      </w:pPr>
      <w:r>
        <w:rPr/>
        <w:t>Attachment: [</w:t>
      </w:r>
      <w:r>
        <w:rPr>
          <w:b/>
        </w:rPr>
        <w:t>Manufacturer's standard method</w:t>
      </w:r>
      <w:r>
        <w:rPr/>
        <w:t>] [</w:t>
      </w:r>
      <w:r>
        <w:rPr>
          <w:b/>
        </w:rPr>
        <w:t>Minimum of four tamper-resistant mechanical fasteners</w:t>
      </w:r>
      <w:r>
        <w:rPr/>
        <w:t>] &lt;</w:t>
      </w:r>
      <w:r>
        <w:rPr>
          <w:b/>
        </w:rPr>
        <w:t>Insert requirement</w:t>
      </w:r>
      <w:r>
        <w:rPr/>
        <w:t>&gt;.</w:t>
      </w:r>
    </w:p>
    <w:p>
      <w:pPr>
        <w:pStyle w:val="PR1"/>
        <w:numPr>
          <w:ilvl w:val="4"/>
          <w:numId w:val="1"/>
        </w:numPr>
        <w:ind w:hanging="0" w:left="0"/>
        <w:rPr/>
      </w:pPr>
      <w:r>
        <w:rPr/>
        <w:t>Seat-Number Plates: [</w:t>
      </w:r>
      <w:r>
        <w:rPr>
          <w:b/>
        </w:rPr>
        <w:t>Manufacturer's standard</w:t>
      </w:r>
      <w:r>
        <w:rPr/>
        <w:t>] &lt;</w:t>
      </w:r>
      <w:r>
        <w:rPr>
          <w:b/>
        </w:rPr>
        <w:t>Insert description</w:t>
      </w:r>
      <w:r>
        <w:rPr/>
        <w:t>&gt;.</w:t>
      </w:r>
    </w:p>
    <w:p>
      <w:pPr>
        <w:pStyle w:val="PR2"/>
        <w:numPr>
          <w:ilvl w:val="5"/>
          <w:numId w:val="1"/>
        </w:numPr>
        <w:spacing w:before="240" w:after="0"/>
        <w:ind w:hanging="0" w:left="0"/>
        <w:rPr/>
      </w:pPr>
      <w:r>
        <w:rPr/>
        <w:t>Material: Clear-anodized aluminum with black[</w:t>
      </w:r>
      <w:r>
        <w:rPr>
          <w:b/>
        </w:rPr>
        <w:t> embossed</w:t>
      </w:r>
      <w:r>
        <w:rPr/>
        <w:t>] characters.</w:t>
      </w:r>
    </w:p>
    <w:p>
      <w:pPr>
        <w:pStyle w:val="PR2"/>
        <w:numPr>
          <w:ilvl w:val="5"/>
          <w:numId w:val="1"/>
        </w:numPr>
        <w:ind w:hanging="0" w:left="0"/>
        <w:rPr/>
      </w:pPr>
      <w:r>
        <w:rPr/>
        <w:t>Location: [</w:t>
      </w:r>
      <w:r>
        <w:rPr>
          <w:b/>
        </w:rPr>
        <w:t>As indicated on Drawings</w:t>
      </w:r>
      <w:r>
        <w:rPr/>
        <w:t>] [</w:t>
      </w:r>
      <w:r>
        <w:rPr>
          <w:b/>
        </w:rPr>
        <w:t>On top-front of individual backrest pads</w:t>
      </w:r>
      <w:r>
        <w:rPr/>
        <w:t>] &lt;</w:t>
      </w:r>
      <w:r>
        <w:rPr>
          <w:b/>
        </w:rPr>
        <w:t>Insert requirement</w:t>
      </w:r>
      <w:r>
        <w:rPr/>
        <w:t>&gt;.</w:t>
      </w:r>
    </w:p>
    <w:p>
      <w:pPr>
        <w:pStyle w:val="PR2"/>
        <w:numPr>
          <w:ilvl w:val="5"/>
          <w:numId w:val="1"/>
        </w:numPr>
        <w:ind w:hanging="0" w:left="0"/>
        <w:rPr/>
      </w:pPr>
      <w:r>
        <w:rPr/>
        <w:t>Attachment: [</w:t>
      </w:r>
      <w:r>
        <w:rPr>
          <w:b/>
        </w:rPr>
        <w:t>Manufacturer's standard method</w:t>
      </w:r>
      <w:r>
        <w:rPr/>
        <w:t>] [</w:t>
      </w:r>
      <w:r>
        <w:rPr>
          <w:b/>
        </w:rPr>
        <w:t>Minimum of four tamper-resistant mechanical fasteners</w:t>
      </w:r>
      <w:r>
        <w:rPr/>
        <w:t>] &lt;</w:t>
      </w:r>
      <w:r>
        <w:rPr>
          <w:b/>
        </w:rPr>
        <w:t>Insert requirement</w:t>
      </w:r>
      <w:r>
        <w:rPr/>
        <w:t>&gt;.</w:t>
      </w:r>
    </w:p>
    <w:p>
      <w:pPr>
        <w:pStyle w:val="PR1"/>
        <w:numPr>
          <w:ilvl w:val="4"/>
          <w:numId w:val="1"/>
        </w:numPr>
        <w:ind w:hanging="0" w:left="0"/>
        <w:rPr/>
      </w:pPr>
      <w:r>
        <w:rPr/>
        <w:t>Donor Plates: [</w:t>
      </w:r>
      <w:r>
        <w:rPr>
          <w:b/>
        </w:rPr>
        <w:t>Manufacturer's standard</w:t>
      </w:r>
      <w:r>
        <w:rPr/>
        <w:t>] &lt;</w:t>
      </w:r>
      <w:r>
        <w:rPr>
          <w:b/>
        </w:rPr>
        <w:t>Insert description</w:t>
      </w:r>
      <w:r>
        <w:rPr/>
        <w:t>&gt;.</w:t>
      </w:r>
    </w:p>
    <w:p>
      <w:pPr>
        <w:pStyle w:val="PR2"/>
        <w:numPr>
          <w:ilvl w:val="5"/>
          <w:numId w:val="1"/>
        </w:numPr>
        <w:spacing w:before="240" w:after="0"/>
        <w:ind w:hanging="0" w:left="0"/>
        <w:rPr/>
      </w:pPr>
      <w:r>
        <w:rPr/>
        <w:t>Material: Clear-anodized aluminum with black[</w:t>
      </w:r>
      <w:r>
        <w:rPr>
          <w:b/>
        </w:rPr>
        <w:t> embossed</w:t>
      </w:r>
      <w:r>
        <w:rPr/>
        <w:t>] characters.</w:t>
      </w:r>
    </w:p>
    <w:p>
      <w:pPr>
        <w:pStyle w:val="PR2"/>
        <w:numPr>
          <w:ilvl w:val="5"/>
          <w:numId w:val="1"/>
        </w:numPr>
        <w:ind w:hanging="0" w:left="0"/>
        <w:rPr/>
      </w:pPr>
      <w:r>
        <w:rPr/>
        <w:t>Location: [</w:t>
      </w:r>
      <w:r>
        <w:rPr>
          <w:b/>
        </w:rPr>
        <w:t>As indicated on Drawings</w:t>
      </w:r>
      <w:r>
        <w:rPr/>
        <w:t>] [</w:t>
      </w:r>
      <w:r>
        <w:rPr>
          <w:b/>
        </w:rPr>
        <w:t>On top-front of individual backrest pads</w:t>
      </w:r>
      <w:r>
        <w:rPr/>
        <w:t>] [</w:t>
      </w:r>
      <w:r>
        <w:rPr>
          <w:b/>
        </w:rPr>
        <w:t>On aisle end of seat plank</w:t>
      </w:r>
      <w:r>
        <w:rPr/>
        <w:t>] [</w:t>
      </w:r>
      <w:r>
        <w:rPr>
          <w:b/>
        </w:rPr>
        <w:t>On aisle end of backrest</w:t>
      </w:r>
      <w:r>
        <w:rPr/>
        <w:t>] &lt;</w:t>
      </w:r>
      <w:r>
        <w:rPr>
          <w:b/>
        </w:rPr>
        <w:t>Insert requirement</w:t>
      </w:r>
      <w:r>
        <w:rPr/>
        <w:t>&gt;.</w:t>
      </w:r>
    </w:p>
    <w:p>
      <w:pPr>
        <w:pStyle w:val="PR2"/>
        <w:numPr>
          <w:ilvl w:val="5"/>
          <w:numId w:val="1"/>
        </w:numPr>
        <w:ind w:hanging="0" w:left="0"/>
        <w:rPr/>
      </w:pPr>
      <w:r>
        <w:rPr/>
        <w:t>Attachment: [</w:t>
      </w:r>
      <w:r>
        <w:rPr>
          <w:b/>
        </w:rPr>
        <w:t>Manufacturer's standard method</w:t>
      </w:r>
      <w:r>
        <w:rPr/>
        <w:t>] [</w:t>
      </w:r>
      <w:r>
        <w:rPr>
          <w:b/>
        </w:rPr>
        <w:t>Minimum of four tamper-resistant mechanical fasteners</w:t>
      </w:r>
      <w:r>
        <w:rPr/>
        <w:t>] &lt;</w:t>
      </w:r>
      <w:r>
        <w:rPr>
          <w:b/>
        </w:rPr>
        <w:t>Insert requirement</w:t>
      </w:r>
      <w:r>
        <w:rPr/>
        <w:t>&gt;.</w:t>
      </w:r>
    </w:p>
    <w:p>
      <w:pPr>
        <w:pStyle w:val="ART"/>
        <w:numPr>
          <w:ilvl w:val="3"/>
          <w:numId w:val="1"/>
        </w:numPr>
        <w:ind w:hanging="0" w:left="0"/>
        <w:rPr/>
      </w:pPr>
      <w:r>
        <w:rPr/>
        <w:t>MATERIALS</w:t>
      </w:r>
    </w:p>
    <w:p>
      <w:pPr>
        <w:pStyle w:val="PR1"/>
        <w:numPr>
          <w:ilvl w:val="4"/>
          <w:numId w:val="1"/>
        </w:numPr>
        <w:ind w:hanging="0" w:left="0"/>
        <w:rPr/>
      </w:pPr>
      <w:hyperlink r:id="rId5">
        <w:r>
          <w:rPr>
            <w:rStyle w:val="Hyperlink"/>
          </w:rPr>
          <w:t>&lt;Double click to insert sustainable design text for recycled content of aluminum.&gt;</w:t>
        </w:r>
      </w:hyperlink>
    </w:p>
    <w:p>
      <w:pPr>
        <w:pStyle w:val="CMT"/>
        <w:rPr/>
      </w:pPr>
      <w:r>
        <w:rPr/>
        <w:t>Retain required materials in remaining paragraphs below; revise material requirements or insert other materials to suit Project.</w:t>
      </w:r>
    </w:p>
    <w:p>
      <w:pPr>
        <w:pStyle w:val="PR1"/>
        <w:numPr>
          <w:ilvl w:val="4"/>
          <w:numId w:val="1"/>
        </w:numPr>
        <w:ind w:hanging="0" w:left="0"/>
        <w:rPr/>
      </w:pPr>
      <w:r>
        <w:rPr/>
        <w:t>Aluminum: Alloy and temper recommended in writing by manufacturer for type of use and finish indicated.</w:t>
      </w:r>
    </w:p>
    <w:p>
      <w:pPr>
        <w:pStyle w:val="PR1"/>
        <w:numPr>
          <w:ilvl w:val="4"/>
          <w:numId w:val="1"/>
        </w:numPr>
        <w:ind w:hanging="0" w:left="0"/>
        <w:rPr/>
      </w:pPr>
      <w:r>
        <w:rPr/>
        <w:t>Steel: Hot-dip galvanized after fabrication.</w:t>
      </w:r>
    </w:p>
    <w:p>
      <w:pPr>
        <w:pStyle w:val="PR1"/>
        <w:numPr>
          <w:ilvl w:val="4"/>
          <w:numId w:val="1"/>
        </w:numPr>
        <w:ind w:hanging="0" w:left="0"/>
        <w:rPr/>
      </w:pPr>
      <w:r>
        <w:rPr/>
        <w:t>Molded Plastic: High-density plastic, blow or injection molded, with surface that is mar and dent resistant.</w:t>
      </w:r>
    </w:p>
    <w:p>
      <w:pPr>
        <w:pStyle w:val="CMT"/>
        <w:rPr/>
      </w:pPr>
      <w:r>
        <w:rPr/>
        <w:t>If more than one molded-plastic color or texture is required, indicate locations of each on Drawings or by inserts.</w:t>
      </w:r>
    </w:p>
    <w:p>
      <w:pPr>
        <w:pStyle w:val="PR2"/>
        <w:numPr>
          <w:ilvl w:val="5"/>
          <w:numId w:val="1"/>
        </w:numPr>
        <w:spacing w:before="240" w:after="0"/>
        <w:ind w:hanging="0" w:left="0"/>
        <w:rPr/>
      </w:pPr>
      <w:r>
        <w:rPr/>
        <w:t>Color and Texture: [</w:t>
      </w:r>
      <w:r>
        <w:rPr>
          <w:b/>
        </w:rPr>
        <w:t>As indicated by manufacturer's designations</w:t>
      </w:r>
      <w:r>
        <w:rPr/>
        <w:t>] [</w:t>
      </w:r>
      <w:r>
        <w:rPr>
          <w:b/>
        </w:rPr>
        <w:t>As selected by Architect from manufacturer's full range</w:t>
      </w:r>
      <w:r>
        <w:rPr/>
        <w:t>] &lt;</w:t>
      </w:r>
      <w:r>
        <w:rPr>
          <w:b/>
        </w:rPr>
        <w:t>Insert color and texture</w:t>
      </w:r>
      <w:r>
        <w:rPr/>
        <w:t>&gt;.</w:t>
      </w:r>
    </w:p>
    <w:p>
      <w:pPr>
        <w:pStyle w:val="PR2"/>
        <w:numPr>
          <w:ilvl w:val="5"/>
          <w:numId w:val="1"/>
        </w:numPr>
        <w:ind w:hanging="0" w:left="0"/>
        <w:rPr/>
      </w:pPr>
      <w:r>
        <w:rPr/>
        <w:t>Provide with UV inhibitors to retard fading.</w:t>
      </w:r>
    </w:p>
    <w:p>
      <w:pPr>
        <w:pStyle w:val="PR1"/>
        <w:numPr>
          <w:ilvl w:val="4"/>
          <w:numId w:val="1"/>
        </w:numPr>
        <w:ind w:hanging="0" w:left="0"/>
        <w:rPr/>
      </w:pPr>
      <w:r>
        <w:rPr/>
        <w:t>Fasteners: Aluminum, hot-dip galvanized steel, or stainless steel. Use fasteners of the same basic metal as fastened metal unless otherwise indicated. Use metals that are noncorrosive and compatible with each metal joined.</w:t>
      </w:r>
    </w:p>
    <w:p>
      <w:pPr>
        <w:pStyle w:val="PR2"/>
        <w:numPr>
          <w:ilvl w:val="5"/>
          <w:numId w:val="1"/>
        </w:numPr>
        <w:spacing w:before="240" w:after="0"/>
        <w:ind w:hanging="0" w:left="0"/>
        <w:rPr/>
      </w:pPr>
      <w:r>
        <w:rPr/>
        <w:t>Use concealed fasteners for interconnecting metal components and for attaching them to other work unless exposed fasteners are unavoidable.</w:t>
      </w:r>
    </w:p>
    <w:p>
      <w:pPr>
        <w:pStyle w:val="CMT"/>
        <w:rPr/>
      </w:pPr>
      <w:r>
        <w:rPr/>
        <w:t>Revise first subparagraph below if another screw type is required.</w:t>
      </w:r>
    </w:p>
    <w:p>
      <w:pPr>
        <w:pStyle w:val="PR2"/>
        <w:numPr>
          <w:ilvl w:val="5"/>
          <w:numId w:val="1"/>
        </w:numPr>
        <w:ind w:hanging="0" w:left="0"/>
        <w:rPr/>
      </w:pPr>
      <w:r>
        <w:rPr/>
        <w:t>For exposed fasteners, use tamper-resistant screws of head profile flush with metal surface unless otherwise indicated.</w:t>
      </w:r>
    </w:p>
    <w:p>
      <w:pPr>
        <w:pStyle w:val="PR2"/>
        <w:numPr>
          <w:ilvl w:val="5"/>
          <w:numId w:val="1"/>
        </w:numPr>
        <w:ind w:hanging="0" w:left="0"/>
        <w:rPr/>
      </w:pPr>
      <w:r>
        <w:rPr/>
        <w:t>Finish heads of exposed fasteners to match finish of metal fastened unless otherwise indicated.</w:t>
      </w:r>
    </w:p>
    <w:p>
      <w:pPr>
        <w:pStyle w:val="PR2"/>
        <w:numPr>
          <w:ilvl w:val="5"/>
          <w:numId w:val="1"/>
        </w:numPr>
        <w:ind w:hanging="0" w:left="0"/>
        <w:rPr/>
      </w:pPr>
      <w:r>
        <w:rPr/>
        <w:t>Do not use power-actuated fasteners for concrete substrates.</w:t>
      </w:r>
    </w:p>
    <w:p>
      <w:pPr>
        <w:pStyle w:val="ART"/>
        <w:numPr>
          <w:ilvl w:val="3"/>
          <w:numId w:val="1"/>
        </w:numPr>
        <w:ind w:hanging="0" w:left="0"/>
        <w:rPr/>
      </w:pPr>
      <w:r>
        <w:rPr/>
        <w:t>GENERAL FINISH REQUIREMENTS</w:t>
      </w:r>
    </w:p>
    <w:p>
      <w:pPr>
        <w:pStyle w:val="PR1"/>
        <w:numPr>
          <w:ilvl w:val="4"/>
          <w:numId w:val="1"/>
        </w:numPr>
        <w:ind w:hanging="0" w:left="0"/>
        <w:rPr/>
      </w:pPr>
      <w:r>
        <w:rPr/>
        <w:t>Comply with NAAMM's "Metal Finishes Manual for Architectural and Metal Products (AMP 500-06)" for recommendations for applying and designating finishes.</w:t>
      </w:r>
    </w:p>
    <w:p>
      <w:pPr>
        <w:pStyle w:val="PR1"/>
        <w:numPr>
          <w:ilvl w:val="4"/>
          <w:numId w:val="1"/>
        </w:numPr>
        <w:ind w:hanging="0" w:left="0"/>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If retaining more than one finish in paragraphs below, indicate location of each on Drawings or by inserts.</w:t>
      </w:r>
    </w:p>
    <w:p>
      <w:pPr>
        <w:pStyle w:val="CMT"/>
        <w:rPr/>
      </w:pPr>
      <w:r>
        <w:rPr/>
        <w:t>Retain one of two options in "Clear Anodic Finish" Paragraph below. First option is standard with manufacturers; verify availability before retaining second option.</w:t>
      </w:r>
    </w:p>
    <w:p>
      <w:pPr>
        <w:pStyle w:val="PR1"/>
        <w:numPr>
          <w:ilvl w:val="4"/>
          <w:numId w:val="1"/>
        </w:numPr>
        <w:ind w:hanging="0" w:left="0"/>
        <w:rPr/>
      </w:pPr>
      <w:r>
        <w:rPr/>
        <w:t>Clear Anodic Finish: AAMA 611, [</w:t>
      </w:r>
      <w:r>
        <w:rPr>
          <w:b/>
        </w:rPr>
        <w:t>AA-M12C22A41, Class I, 0.018 mm</w:t>
      </w:r>
      <w:r>
        <w:rPr/>
        <w:t>] [</w:t>
      </w:r>
      <w:r>
        <w:rPr>
          <w:b/>
        </w:rPr>
        <w:t>AA-M10C22A31, Class II, 0.010 mm</w:t>
      </w:r>
      <w:r>
        <w:rPr/>
        <w:t>] or thicker.</w:t>
      </w:r>
    </w:p>
    <w:p>
      <w:pPr>
        <w:pStyle w:val="CMT"/>
        <w:rPr/>
      </w:pPr>
      <w:r>
        <w:rPr/>
        <w:t>Manufacturers may offer product specified in "Baked-Enamel or Powder-Coat Finish" and "High-Performance Organic Finish" paragraphs below; generally, manufacturers' have incomplete finish descriptions in their product literature. Consult manufacturers for availability.</w:t>
      </w:r>
    </w:p>
    <w:p>
      <w:pPr>
        <w:pStyle w:val="CMT"/>
        <w:rPr/>
      </w:pPr>
      <w:r>
        <w:rPr/>
        <w:t>"Baked-Enamel or Powder-Coat Finish" Paragraph below references AAMA standard for pigmented organic coating on extrusions and panels.</w:t>
      </w:r>
    </w:p>
    <w:p>
      <w:pPr>
        <w:pStyle w:val="PR1"/>
        <w:numPr>
          <w:ilvl w:val="4"/>
          <w:numId w:val="1"/>
        </w:numPr>
        <w:ind w:hanging="0" w:left="0"/>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CMT"/>
        <w:rPr/>
      </w:pPr>
      <w:r>
        <w:rPr/>
        <w:t>Retain AAMA 2604 or AAMA 2605 in "High-Performance Organic Finish" Paragraph below for high- or superior-performance organic coatings, respectively, on extrusions and panels. If specific products are required, name coating manufacturers and products.</w:t>
      </w:r>
    </w:p>
    <w:p>
      <w:pPr>
        <w:pStyle w:val="PR1"/>
        <w:numPr>
          <w:ilvl w:val="4"/>
          <w:numId w:val="1"/>
        </w:numPr>
        <w:ind w:hanging="0" w:left="0"/>
        <w:rPr/>
      </w:pPr>
      <w:r>
        <w:rPr/>
        <w:t>High-Performance Organic Finish: Two-coat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 Prepare, pretreat, and apply coating to exposed metal surfaces to comply with coating and resin manufacturers' written instructions.</w:t>
      </w:r>
    </w:p>
    <w:p>
      <w:pPr>
        <w:pStyle w:val="ART"/>
        <w:numPr>
          <w:ilvl w:val="3"/>
          <w:numId w:val="1"/>
        </w:numPr>
        <w:ind w:hanging="0" w:left="0"/>
        <w:rPr/>
      </w:pPr>
      <w:r>
        <w:rPr/>
        <w:t>FABRICATION</w:t>
      </w:r>
    </w:p>
    <w:p>
      <w:pPr>
        <w:pStyle w:val="CMT"/>
        <w:rPr/>
      </w:pPr>
      <w:r>
        <w:rPr/>
        <w:t>Retain and revise paragraphs in this article to suit Project. Fabrication methods vary among manufacturers.</w:t>
      </w:r>
    </w:p>
    <w:p>
      <w:pPr>
        <w:pStyle w:val="PR1"/>
        <w:numPr>
          <w:ilvl w:val="4"/>
          <w:numId w:val="1"/>
        </w:numPr>
        <w:ind w:hanging="0" w:left="0"/>
        <w:rPr/>
      </w:pPr>
      <w:r>
        <w:rPr/>
        <w:t>Seat-Plank Assembly: Assemble seat plank sections end to end to form continuous benches of lengths indicated on Drawings. Provide tightly fitting aluminum end caps, interior joint sleeves at splices, and welded mounting plates for attaching support[</w:t>
      </w:r>
      <w:r>
        <w:rPr>
          <w:b/>
        </w:rPr>
        <w:t> and backrest</w:t>
      </w:r>
      <w:r>
        <w:rPr/>
        <w:t>] brackets.</w:t>
      </w:r>
    </w:p>
    <w:p>
      <w:pPr>
        <w:pStyle w:val="PR1"/>
        <w:numPr>
          <w:ilvl w:val="4"/>
          <w:numId w:val="1"/>
        </w:numPr>
        <w:ind w:hanging="0" w:left="0"/>
        <w:rPr/>
      </w:pPr>
      <w:r>
        <w:rPr/>
        <w:t>Backrest Assembly: Assemble backrest sections end to end to form continuous backrest surface of lengths indicated on Drawings. Provide tightly fitting aluminum end caps, interior joint sleeves at splices, and welded mounting plates for attaching to backrest brackets.</w:t>
      </w:r>
    </w:p>
    <w:p>
      <w:pPr>
        <w:pStyle w:val="PR1"/>
        <w:numPr>
          <w:ilvl w:val="4"/>
          <w:numId w:val="1"/>
        </w:numPr>
        <w:ind w:hanging="0" w:left="0"/>
        <w:rPr/>
      </w:pPr>
      <w:r>
        <w:rPr/>
        <w:t>Shop-Fabricated Connections: Welded according to AWS standards by AWS-certified welders.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floors, risers, and other adjacent work and conditions, with Installer present, for compliance with requirements and other conditions affecting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applicable paragraphs below; revise to suit Project.</w:t>
      </w:r>
    </w:p>
    <w:p>
      <w:pPr>
        <w:pStyle w:val="PR1"/>
        <w:numPr>
          <w:ilvl w:val="4"/>
          <w:numId w:val="1"/>
        </w:numPr>
        <w:ind w:hanging="0" w:left="0"/>
        <w:rPr/>
      </w:pPr>
      <w:r>
        <w:rPr/>
        <w:t>Install seating in locations indicated and fasten to substrates according to manufacturer's written installation instructions unless otherwise indicated.</w:t>
      </w:r>
    </w:p>
    <w:p>
      <w:pPr>
        <w:pStyle w:val="PR1"/>
        <w:numPr>
          <w:ilvl w:val="4"/>
          <w:numId w:val="1"/>
        </w:numPr>
        <w:ind w:hanging="0" w:left="0"/>
        <w:rPr/>
      </w:pPr>
      <w:r>
        <w:rPr/>
        <w:t>Install seating level, with uniform bench height above walking surface, and without sharp edges.</w:t>
      </w:r>
    </w:p>
    <w:p>
      <w:pPr>
        <w:pStyle w:val="PR1"/>
        <w:numPr>
          <w:ilvl w:val="4"/>
          <w:numId w:val="1"/>
        </w:numPr>
        <w:ind w:hanging="0" w:left="0"/>
        <w:rPr/>
      </w:pPr>
      <w:r>
        <w:rPr/>
        <w:t>Attach end caps tightly abutting ends of seat planks, with exposed end-cap contour aligned with contour of seat planks.</w:t>
      </w:r>
    </w:p>
    <w:p>
      <w:pPr>
        <w:pStyle w:val="PR1"/>
        <w:numPr>
          <w:ilvl w:val="4"/>
          <w:numId w:val="1"/>
        </w:numPr>
        <w:ind w:hanging="0" w:left="0"/>
        <w:rPr/>
      </w:pPr>
      <w:r>
        <w:rPr/>
        <w:t>Space and attach seat-plank support brackets only to substrate concrete or structural components of metal substrates.</w:t>
      </w:r>
    </w:p>
    <w:p>
      <w:pPr>
        <w:pStyle w:val="PR1"/>
        <w:numPr>
          <w:ilvl w:val="4"/>
          <w:numId w:val="1"/>
        </w:numPr>
        <w:ind w:hanging="0" w:left="0"/>
        <w:rPr/>
      </w:pPr>
      <w:r>
        <w:rPr/>
        <w:t>Install individual seat and backrest pads equally spaced along length of bench seating.</w:t>
      </w:r>
    </w:p>
    <w:p>
      <w:pPr>
        <w:pStyle w:val="PR1"/>
        <w:numPr>
          <w:ilvl w:val="4"/>
          <w:numId w:val="1"/>
        </w:numPr>
        <w:ind w:hanging="0" w:left="0"/>
        <w:rPr/>
      </w:pPr>
      <w:r>
        <w:rPr/>
        <w:t>Install accessories in visual alignment.</w:t>
      </w:r>
    </w:p>
    <w:p>
      <w:pPr>
        <w:pStyle w:val="ART"/>
        <w:numPr>
          <w:ilvl w:val="3"/>
          <w:numId w:val="1"/>
        </w:numPr>
        <w:ind w:hanging="0" w:left="0"/>
        <w:rPr/>
      </w:pPr>
      <w:r>
        <w:rPr/>
        <w:t>ADJUSTING</w:t>
      </w:r>
    </w:p>
    <w:p>
      <w:pPr>
        <w:pStyle w:val="PR1"/>
        <w:numPr>
          <w:ilvl w:val="4"/>
          <w:numId w:val="1"/>
        </w:numPr>
        <w:ind w:hanging="0" w:left="0"/>
        <w:rPr/>
      </w:pPr>
      <w:r>
        <w:rPr/>
        <w:t>Repair minor abrasions and imperfections in finishes with coating that matches factory-applied finish.</w:t>
      </w:r>
    </w:p>
    <w:p>
      <w:pPr>
        <w:pStyle w:val="PR1"/>
        <w:numPr>
          <w:ilvl w:val="4"/>
          <w:numId w:val="1"/>
        </w:numPr>
        <w:ind w:hanging="0" w:left="0"/>
        <w:rPr/>
      </w:pPr>
      <w:r>
        <w:rPr/>
        <w:t>Replace damaged and malfunctioning components that cannot be acceptably repaired.</w:t>
      </w:r>
    </w:p>
    <w:p>
      <w:pPr>
        <w:pStyle w:val="EOS"/>
        <w:rPr/>
      </w:pPr>
      <w:r>
        <w:rPr/>
        <w:t>END OF SECTION 126313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STADIUM AND ARENA BENCH SEATING</w:t>
          </w:r>
        </w:p>
      </w:tc>
      <w:tc>
        <w:tcPr>
          <w:tcW w:w="1872" w:type="dxa"/>
          <w:tcBorders/>
        </w:tcPr>
        <w:p>
          <w:pPr>
            <w:pStyle w:val="RJUST"/>
            <w:rPr/>
          </w:pPr>
          <w:r>
            <w:rPr>
              <w:rStyle w:val="NUM"/>
            </w:rPr>
            <w:t>126313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12/15</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5"/>
    <w:docVar w:name="Format" w:val="1"/>
    <w:docVar w:name="MF04" w:val="126313"/>
    <w:docVar w:name="MF95" w:val="12631"/>
    <w:docVar w:name="MFOrigin" w:val="MF04"/>
    <w:docVar w:name="SpecType" w:val="MasterSpec"/>
    <w:docVar w:name="Version" w:val="1211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6313&amp;ver=12-01-15&amp;format=FL&amp;sid=12114&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specagent.com/LookUp/?ulid=12747&amp;mf=04&amp;src=wd" TargetMode="External"/><Relationship Id="rId5" Type="http://schemas.openxmlformats.org/officeDocument/2006/relationships/hyperlink" Target="http://www.arcomnet.com/sustainable_design.aspx?topic=194"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2022-09-26T02:41:00Z</dcterms:created>
  <dc:creator>Deltek, Inc.</dc:creator>
  <dc:description/>
  <cp:keywords>BAS-12345-MS80</cp:keywords>
  <dc:language>zh-CN</dc:language>
  <cp:lastModifiedBy>Janice Nacional</cp:lastModifiedBy>
  <dcterms:modified xsi:type="dcterms:W3CDTF">2022-09-26T02:41:00Z</dcterms:modified>
  <cp:revision>2</cp:revision>
  <dc:subject>STADIUM AND ARENA BENCH SEATING</dc:subject>
  <dc:title>SECTION 126313 - STADIUM AND ARENA BENCH SEATING</dc:title>
</cp:coreProperties>
</file>