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126600</w:t>
      </w:r>
      <w:r>
        <w:rPr/>
        <w:t xml:space="preserve"> - </w:t>
      </w:r>
      <w:r>
        <w:rPr>
          <w:rStyle w:val="NAM"/>
        </w:rPr>
        <w:t>TELESCOPING STANDS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w:t>
      </w:r>
    </w:p>
    <w:p>
      <w:pPr>
        <w:pStyle w:val="CMT"/>
        <w:rPr/>
      </w:pPr>
      <w:r>
        <w:rPr/>
        <w:t>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Manually operated telescoping stands.</w:t>
      </w:r>
    </w:p>
    <w:p>
      <w:pPr>
        <w:pStyle w:val="PR2"/>
        <w:numPr>
          <w:ilvl w:val="5"/>
          <w:numId w:val="1"/>
        </w:numPr>
        <w:rPr/>
      </w:pPr>
      <w:r>
        <w:rPr/>
        <w:t>Electrically operated telescoping stands.</w:t>
      </w:r>
    </w:p>
    <w:p>
      <w:pPr>
        <w:pStyle w:val="ART"/>
        <w:numPr>
          <w:ilvl w:val="3"/>
          <w:numId w:val="1"/>
        </w:numPr>
        <w:ind w:hanging="0" w:left="0"/>
        <w:rPr/>
      </w:pPr>
      <w:r>
        <w:rPr/>
        <w:t>DEFINITIONS</w:t>
      </w:r>
    </w:p>
    <w:p>
      <w:pPr>
        <w:pStyle w:val="CMT"/>
        <w:rPr/>
      </w:pPr>
      <w:r>
        <w:rPr/>
        <w:t>Retain terms that remain after this Section has been edited for a project. The terms "forward folding" and "reverse folding" are used inconsistently by manufacturers.</w:t>
      </w:r>
    </w:p>
    <w:p>
      <w:pPr>
        <w:pStyle w:val="PR1"/>
        <w:numPr>
          <w:ilvl w:val="4"/>
          <w:numId w:val="1"/>
        </w:numPr>
        <w:rPr/>
      </w:pPr>
      <w:r>
        <w:rPr/>
        <w:t>Forward Folding: Wall- or floor-attached bleachers that open in the forward direction by moving the front row away from the stack to the fully extended position.</w:t>
      </w:r>
    </w:p>
    <w:p>
      <w:pPr>
        <w:pStyle w:val="PR1"/>
        <w:numPr>
          <w:ilvl w:val="4"/>
          <w:numId w:val="1"/>
        </w:numPr>
        <w:rPr/>
      </w:pPr>
      <w:r>
        <w:rPr/>
        <w:t>Reverse Folding: Floor-attached bleachers that open in the backward direction by moving the last row away from the stack to the fully extended position.</w:t>
      </w:r>
    </w:p>
    <w:p>
      <w:pPr>
        <w:pStyle w:val="PR1"/>
        <w:numPr>
          <w:ilvl w:val="4"/>
          <w:numId w:val="1"/>
        </w:numPr>
        <w:rPr/>
      </w:pPr>
      <w:r>
        <w:rPr/>
        <w:t>Freestanding: Being free or away from a permanent wall.</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telescoping stands.</w:t>
      </w:r>
    </w:p>
    <w:p>
      <w:pPr>
        <w:pStyle w:val="PR2"/>
        <w:numPr>
          <w:ilvl w:val="5"/>
          <w:numId w:val="1"/>
        </w:numPr>
        <w:rPr/>
      </w:pPr>
      <w:r>
        <w:rPr/>
        <w:t>Include load capacities, assembly characteristics, and furnished accessories.</w:t>
      </w:r>
    </w:p>
    <w:p>
      <w:pPr>
        <w:pStyle w:val="CMT"/>
        <w:rPr/>
      </w:pPr>
      <w:r>
        <w:rPr/>
        <w:t>Retain subparagraph below if applicable; revise to suit Project.</w:t>
      </w:r>
    </w:p>
    <w:p>
      <w:pPr>
        <w:pStyle w:val="PR2"/>
        <w:numPr>
          <w:ilvl w:val="5"/>
          <w:numId w:val="1"/>
        </w:numPr>
        <w:rPr/>
      </w:pPr>
      <w:r>
        <w:rPr/>
        <w:t>Include electrical characteristics of electrical components, devices,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composite wood.&gt;</w:t>
        </w:r>
      </w:hyperlink>
    </w:p>
    <w:p>
      <w:pPr>
        <w:pStyle w:val="PR1"/>
        <w:numPr>
          <w:ilvl w:val="4"/>
          <w:numId w:val="1"/>
        </w:numPr>
        <w:rPr/>
      </w:pPr>
      <w:r>
        <w:rPr/>
        <w:t>Shop Drawings: For telescoping stands in both stacked and extended positions.</w:t>
      </w:r>
    </w:p>
    <w:p>
      <w:pPr>
        <w:pStyle w:val="PR2"/>
        <w:numPr>
          <w:ilvl w:val="5"/>
          <w:numId w:val="1"/>
        </w:numPr>
        <w:spacing w:before="240" w:after="0"/>
        <w:rPr/>
      </w:pPr>
      <w:r>
        <w:rPr/>
        <w:t>Include plans, elevations, sections, and attachment details.</w:t>
      </w:r>
    </w:p>
    <w:p>
      <w:pPr>
        <w:pStyle w:val="PR2"/>
        <w:numPr>
          <w:ilvl w:val="5"/>
          <w:numId w:val="1"/>
        </w:numPr>
        <w:rPr/>
      </w:pPr>
      <w:r>
        <w:rPr/>
        <w:t>Include load capacities.</w:t>
      </w:r>
    </w:p>
    <w:p>
      <w:pPr>
        <w:pStyle w:val="PR2"/>
        <w:numPr>
          <w:ilvl w:val="5"/>
          <w:numId w:val="1"/>
        </w:numPr>
        <w:rPr/>
      </w:pPr>
      <w:r>
        <w:rPr/>
        <w:t>Show seating layout, aisle widths, row-lettering and seat-numbering scheme, and wheelchair accessibility provisions.</w:t>
      </w:r>
    </w:p>
    <w:p>
      <w:pPr>
        <w:pStyle w:val="CMT"/>
        <w:rPr/>
      </w:pPr>
      <w:r>
        <w:rPr/>
        <w:t>Retain subparagraphs below if equipment includes wiring.</w:t>
      </w:r>
    </w:p>
    <w:p>
      <w:pPr>
        <w:pStyle w:val="PR2"/>
        <w:numPr>
          <w:ilvl w:val="5"/>
          <w:numId w:val="1"/>
        </w:numPr>
        <w:rPr/>
      </w:pPr>
      <w:r>
        <w:rPr/>
        <w:t>Show locations and details for installing operator components, switches, and controls. Indicate motor size, electrical characteristics, drive arrangement, mounting, and grounding provisions.</w:t>
      </w:r>
    </w:p>
    <w:p>
      <w:pPr>
        <w:pStyle w:val="PR2"/>
        <w:numPr>
          <w:ilvl w:val="5"/>
          <w:numId w:val="1"/>
        </w:numPr>
        <w:rPr/>
      </w:pPr>
      <w:r>
        <w:rPr/>
        <w:t>Include diagrams for power, signal, and control wiring.</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exposed product and for each color and texture required.</w:t>
      </w:r>
    </w:p>
    <w:p>
      <w:pPr>
        <w:pStyle w:val="PR2"/>
        <w:numPr>
          <w:ilvl w:val="5"/>
          <w:numId w:val="1"/>
        </w:numPr>
        <w:spacing w:before="240" w:after="0"/>
        <w:rPr/>
      </w:pPr>
      <w:r>
        <w:rPr/>
        <w:t>Include Samples of accessories involving color and finish selection.</w:t>
      </w:r>
    </w:p>
    <w:p>
      <w:pPr>
        <w:pStyle w:val="PR1"/>
        <w:numPr>
          <w:ilvl w:val="4"/>
          <w:numId w:val="1"/>
        </w:numPr>
        <w:rPr/>
      </w:pPr>
      <w:r>
        <w:rPr/>
        <w:t>Samples for Verification: For the following products prepared on Samples of size indicated below:</w:t>
      </w:r>
    </w:p>
    <w:p>
      <w:pPr>
        <w:pStyle w:val="PR2"/>
        <w:numPr>
          <w:ilvl w:val="5"/>
          <w:numId w:val="1"/>
        </w:numPr>
        <w:spacing w:before="240" w:after="0"/>
        <w:rPr/>
      </w:pPr>
      <w:r>
        <w:rPr/>
        <w:t xml:space="preserve">Decking: </w:t>
      </w:r>
      <w:r>
        <w:rPr>
          <w:rStyle w:val="IP"/>
        </w:rPr>
        <w:t>6-inch-</w:t>
      </w:r>
      <w:r>
        <w:rPr>
          <w:rStyle w:val="SI"/>
        </w:rPr>
        <w:t xml:space="preserve"> (150-mm-)</w:t>
      </w:r>
      <w:r>
        <w:rPr/>
        <w:t xml:space="preserve"> square Samples of finished material.</w:t>
      </w:r>
    </w:p>
    <w:p>
      <w:pPr>
        <w:pStyle w:val="PR2"/>
        <w:numPr>
          <w:ilvl w:val="5"/>
          <w:numId w:val="1"/>
        </w:numPr>
        <w:rPr/>
      </w:pPr>
      <w:r>
        <w:rPr/>
        <w:t xml:space="preserve">Metal Components: </w:t>
      </w:r>
      <w:r>
        <w:rPr>
          <w:rStyle w:val="IP"/>
        </w:rPr>
        <w:t>6-inch-</w:t>
      </w:r>
      <w:r>
        <w:rPr>
          <w:rStyle w:val="SI"/>
        </w:rPr>
        <w:t xml:space="preserve"> (150-mm-)</w:t>
      </w:r>
      <w:r>
        <w:rPr/>
        <w:t xml:space="preserve"> square Sample of each color and finish indicated.</w:t>
      </w:r>
    </w:p>
    <w:p>
      <w:pPr>
        <w:pStyle w:val="PR2"/>
        <w:numPr>
          <w:ilvl w:val="5"/>
          <w:numId w:val="1"/>
        </w:numPr>
        <w:rPr/>
      </w:pPr>
      <w:r>
        <w:rPr/>
        <w:t xml:space="preserve">Seating Material: </w:t>
      </w:r>
      <w:r>
        <w:rPr>
          <w:rStyle w:val="IP"/>
        </w:rPr>
        <w:t>6-inch-</w:t>
      </w:r>
      <w:r>
        <w:rPr>
          <w:rStyle w:val="SI"/>
        </w:rPr>
        <w:t xml:space="preserve"> (150-mm-)</w:t>
      </w:r>
      <w:r>
        <w:rPr/>
        <w:t xml:space="preserve"> square Sample of each seating material, color, and finish indicated.</w:t>
      </w:r>
    </w:p>
    <w:p>
      <w:pPr>
        <w:pStyle w:val="CMT"/>
        <w:rPr/>
      </w:pPr>
      <w:r>
        <w:rPr/>
        <w:t>Retain "Seat Unit" Subparagraph below for modular seats or individual chairs.</w:t>
      </w:r>
    </w:p>
    <w:p>
      <w:pPr>
        <w:pStyle w:val="PR2"/>
        <w:numPr>
          <w:ilvl w:val="5"/>
          <w:numId w:val="1"/>
        </w:numPr>
        <w:rPr/>
      </w:pPr>
      <w:r>
        <w:rPr/>
        <w:t>Seat Unit: Full-size unit of each type.</w:t>
      </w:r>
    </w:p>
    <w:p>
      <w:pPr>
        <w:pStyle w:val="CMT"/>
        <w:rPr/>
      </w:pPr>
      <w:r>
        <w:rPr/>
        <w:t>Retain "Upholstery Fabric" Subparagraph below for upholstered seating.</w:t>
      </w:r>
    </w:p>
    <w:p>
      <w:pPr>
        <w:pStyle w:val="PR2"/>
        <w:numPr>
          <w:ilvl w:val="5"/>
          <w:numId w:val="1"/>
        </w:numPr>
        <w:rPr/>
      </w:pPr>
      <w:r>
        <w:rPr/>
        <w:t xml:space="preserve">Upholstery Fabric: </w:t>
      </w:r>
      <w:r>
        <w:rPr>
          <w:rStyle w:val="IP"/>
        </w:rPr>
        <w:t>12-inch-</w:t>
      </w:r>
      <w:r>
        <w:rPr>
          <w:rStyle w:val="SI"/>
        </w:rPr>
        <w:t xml:space="preserve"> (300-mm-)</w:t>
      </w:r>
      <w:r>
        <w:rPr/>
        <w:t xml:space="preserve"> square Sample of fabric from dye lot to be used for the Work, with specified treatments applied.[</w:t>
      </w:r>
      <w:r>
        <w:rPr>
          <w:b/>
        </w:rPr>
        <w:t> Show complete pattern repeat. Mark top and face of fabric.</w:t>
      </w:r>
      <w:r>
        <w:rPr/>
        <w:t>]</w:t>
      </w:r>
    </w:p>
    <w:p>
      <w:pPr>
        <w:pStyle w:val="PR2"/>
        <w:numPr>
          <w:ilvl w:val="5"/>
          <w:numId w:val="1"/>
        </w:numPr>
        <w:rPr/>
      </w:pPr>
      <w:r>
        <w:rPr/>
        <w:t>Signage: Full-size units for [</w:t>
      </w:r>
      <w:r>
        <w:rPr>
          <w:b/>
        </w:rPr>
        <w:t>row letters</w:t>
      </w:r>
      <w:r>
        <w:rPr/>
        <w:t>] [</w:t>
      </w:r>
      <w:r>
        <w:rPr>
          <w:b/>
        </w:rPr>
        <w:t>seat numbers</w:t>
      </w:r>
      <w:r>
        <w:rPr/>
        <w:t>] [</w:t>
      </w:r>
      <w:r>
        <w:rPr>
          <w:b/>
        </w:rPr>
        <w:t>each type of accessibility sign</w:t>
      </w:r>
      <w:r>
        <w:rPr/>
        <w:t>] [</w:t>
      </w:r>
      <w:r>
        <w:rPr>
          <w:b/>
        </w:rPr>
        <w:t>and</w:t>
      </w:r>
      <w:r>
        <w:rPr/>
        <w:t>] [</w:t>
      </w:r>
      <w:r>
        <w:rPr>
          <w:b/>
        </w:rPr>
        <w:t>custom graphics</w:t>
      </w:r>
      <w:r>
        <w:rPr/>
        <w:t>].</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and "Material Certificates" paragraphs below to require submittal of certificates from manufacturers.</w:t>
      </w:r>
    </w:p>
    <w:p>
      <w:pPr>
        <w:pStyle w:val="PR1"/>
        <w:numPr>
          <w:ilvl w:val="4"/>
          <w:numId w:val="1"/>
        </w:numPr>
        <w:rPr/>
      </w:pPr>
      <w:r>
        <w:rPr/>
        <w:t>Product Certificates: For each type of telescoping stand assembly.</w:t>
      </w:r>
    </w:p>
    <w:p>
      <w:pPr>
        <w:pStyle w:val="CMT"/>
        <w:rPr/>
      </w:pPr>
      <w:r>
        <w:rPr/>
        <w:t>Retain "Material Certificates" Paragraph below for upholstered seating.</w:t>
      </w:r>
    </w:p>
    <w:p>
      <w:pPr>
        <w:pStyle w:val="PR1"/>
        <w:numPr>
          <w:ilvl w:val="4"/>
          <w:numId w:val="1"/>
        </w:numPr>
        <w:rPr/>
      </w:pPr>
      <w:r>
        <w:rPr/>
        <w:t>Material Certificates: For each type of flame-retardant treatment of upholstery fabric.</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telescoping stands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Procedures for conducting periodic inspections.</w:t>
      </w:r>
    </w:p>
    <w:p>
      <w:pPr>
        <w:pStyle w:val="PR3"/>
        <w:numPr>
          <w:ilvl w:val="6"/>
          <w:numId w:val="1"/>
        </w:numPr>
        <w:rPr/>
      </w:pPr>
      <w:r>
        <w:rPr/>
        <w:t>Precautions for cleaning materials and methods that could be detrimental to telescoping-stand finishes and performance.</w:t>
      </w:r>
    </w:p>
    <w:p>
      <w:pPr>
        <w:pStyle w:val="CMT"/>
        <w:rPr/>
      </w:pPr>
      <w:r>
        <w:rPr/>
        <w:t>Retain subparagraph below if applicable.</w:t>
      </w:r>
    </w:p>
    <w:p>
      <w:pPr>
        <w:pStyle w:val="PR3"/>
        <w:numPr>
          <w:ilvl w:val="6"/>
          <w:numId w:val="1"/>
        </w:numPr>
        <w:rPr/>
      </w:pPr>
      <w:r>
        <w:rPr/>
        <w:t>Methods for maintaining upholstery fabric.</w:t>
      </w:r>
    </w:p>
    <w:p>
      <w:pPr>
        <w:pStyle w:val="ART"/>
        <w:numPr>
          <w:ilvl w:val="3"/>
          <w:numId w:val="1"/>
        </w:numPr>
        <w:ind w:hanging="0" w:left="0"/>
        <w:rPr/>
      </w:pPr>
      <w:r>
        <w:rPr/>
        <w:t>QUALITY ASSURANCE</w:t>
      </w:r>
    </w:p>
    <w:p>
      <w:pPr>
        <w:pStyle w:val="PR1"/>
        <w:numPr>
          <w:ilvl w:val="4"/>
          <w:numId w:val="1"/>
        </w:numPr>
        <w:rPr/>
      </w:pPr>
      <w:hyperlink r:id="rId7">
        <w:r>
          <w:rPr>
            <w:rStyle w:val="Hyperlink"/>
          </w:rPr>
          <w:t>&lt;Double click to insert sustainable design text for manufacturer qualifications.&gt;</w:t>
        </w:r>
      </w:hyperlink>
    </w:p>
    <w:p>
      <w:pPr>
        <w:pStyle w:val="PR1"/>
        <w:numPr>
          <w:ilvl w:val="4"/>
          <w:numId w:val="1"/>
        </w:numPr>
        <w:rPr/>
      </w:pPr>
      <w:hyperlink r:id="rId8">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1"/>
        <w:numPr>
          <w:ilvl w:val="4"/>
          <w:numId w:val="1"/>
        </w:numPr>
        <w:rPr/>
      </w:pPr>
      <w:r>
        <w:rPr/>
        <w:t>Mockups: Build mockups to demonstrate aesthetic effects and to set quality standards for fabrication and installation.</w:t>
      </w:r>
    </w:p>
    <w:p>
      <w:pPr>
        <w:pStyle w:val="CMT"/>
        <w:rPr/>
      </w:pPr>
      <w:r>
        <w:rPr/>
        <w:t>Indicate portion of telescoping stands represented by mockup on Drawings or draw mockup as separate element.</w:t>
      </w:r>
    </w:p>
    <w:p>
      <w:pPr>
        <w:pStyle w:val="PR2"/>
        <w:numPr>
          <w:ilvl w:val="5"/>
          <w:numId w:val="1"/>
        </w:numPr>
        <w:spacing w:before="240" w:after="0"/>
        <w:rPr/>
      </w:pPr>
      <w:r>
        <w:rPr/>
        <w:t>Build mockup of typical telescoping stand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Generally, retain "Finished Spaces" Paragraph below; revise to suit Project.</w:t>
      </w:r>
    </w:p>
    <w:p>
      <w:pPr>
        <w:pStyle w:val="PR1"/>
        <w:numPr>
          <w:ilvl w:val="4"/>
          <w:numId w:val="1"/>
        </w:numPr>
        <w:rPr/>
      </w:pPr>
      <w:r>
        <w:rPr/>
        <w:t>Finished Spaces: Do not deliver or install telescoping stands until finishes in spaces to receive them are complete, including suspended ceilings, floors, and painting.</w:t>
      </w:r>
    </w:p>
    <w:p>
      <w:pPr>
        <w:pStyle w:val="PR1"/>
        <w:numPr>
          <w:ilvl w:val="4"/>
          <w:numId w:val="1"/>
        </w:numPr>
        <w:rPr/>
      </w:pPr>
      <w:r>
        <w:rPr/>
        <w:t>Field Measurements: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ICC 300 cited in "Structural Performance" Paragraph below includes uniform live loads and design loads for seats, treads, handrails, and guards.</w:t>
      </w:r>
    </w:p>
    <w:p>
      <w:pPr>
        <w:pStyle w:val="PR1"/>
        <w:numPr>
          <w:ilvl w:val="4"/>
          <w:numId w:val="1"/>
        </w:numPr>
        <w:rPr/>
      </w:pPr>
      <w:r>
        <w:rPr/>
        <w:t>Structural Performance: Telescoping stands to withstand the effects of gravity loads, operational loads, and other loads and stresses according to ICC 300.</w:t>
      </w:r>
    </w:p>
    <w:p>
      <w:pPr>
        <w:pStyle w:val="CMT"/>
        <w:rPr/>
      </w:pPr>
      <w:r>
        <w:rPr/>
        <w:t>Compliance with California Technical Bulletin 133 may be required for unsprinklered assembly spaces. Verify requirements of authorities having jurisdiction.</w:t>
      </w:r>
    </w:p>
    <w:p>
      <w:pPr>
        <w:pStyle w:val="PR1"/>
        <w:numPr>
          <w:ilvl w:val="4"/>
          <w:numId w:val="1"/>
        </w:numPr>
        <w:rPr/>
      </w:pPr>
      <w:r>
        <w:rPr/>
        <w:t>Fire-Test-Response Characteristics of Upholstered Chairs: Comply with California Technical [</w:t>
      </w:r>
      <w:r>
        <w:rPr>
          <w:b/>
        </w:rPr>
        <w:t>Bulletin 117</w:t>
      </w:r>
      <w:r>
        <w:rPr/>
        <w:t>] [</w:t>
      </w:r>
      <w:r>
        <w:rPr>
          <w:b/>
        </w:rPr>
        <w:t>and</w:t>
      </w:r>
      <w:r>
        <w:rPr/>
        <w:t>] [</w:t>
      </w:r>
      <w:r>
        <w:rPr>
          <w:b/>
        </w:rPr>
        <w:t>Bulletin 133</w:t>
      </w:r>
      <w:r>
        <w:rPr/>
        <w:t>].</w:t>
      </w:r>
    </w:p>
    <w:p>
      <w:pPr>
        <w:pStyle w:val="CMT"/>
        <w:rPr/>
      </w:pPr>
      <w:r>
        <w:rPr/>
        <w:t>Verify accessibility requirements of authorities having jurisdiction. Generally, retain only one of first two options below. Retain the first option for facilities covered under the Americans with Disabilities Act of 1990 (ADA). Retain the second option for facilities covered under the Architectural Barriers Act (ABA). See the Evaluations.</w:t>
      </w:r>
    </w:p>
    <w:p>
      <w:pPr>
        <w:pStyle w:val="PR1"/>
        <w:numPr>
          <w:ilvl w:val="4"/>
          <w:numId w:val="1"/>
        </w:numPr>
        <w:rPr/>
      </w:pPr>
      <w:r>
        <w:rPr/>
        <w:t>Accessibility Standard: Comply with applicable provisions in [</w:t>
      </w:r>
      <w:r>
        <w:rPr>
          <w:b/>
        </w:rPr>
        <w:t>the 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TELESCOPING STANDS</w:t>
      </w:r>
    </w:p>
    <w:p>
      <w:pPr>
        <w:pStyle w:val="PR1"/>
        <w:numPr>
          <w:ilvl w:val="4"/>
          <w:numId w:val="1"/>
        </w:numPr>
        <w:rPr/>
      </w:pPr>
      <w:r>
        <w:rPr/>
        <w:t>System Description: Operable system of multiple-tiered seating on interconnected folding platforms that close for storage, without being dismantled, into a nested stack. Telescoping-stand units permit opening and closing of adjacent, individual and multiple rows, and close with vertical faces of platforms in the same vertical plane.</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rPr/>
      </w:pPr>
      <w:r>
        <w:rPr/>
        <w:t>Telescoping-Stands Standard: ICC 300.</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Wall-Attached Telescoping Stands &lt;</w:t>
      </w:r>
      <w:r>
        <w:rPr>
          <w:b/>
        </w:rPr>
        <w:t>Insert drawing designation</w:t>
      </w:r>
      <w:r>
        <w:rPr/>
        <w:t>&gt;: Forward-folding system, in which the bleachers open in the forward direction by moving the front row away from the stack to the fully extended position and the rear of bleacher understructure permanently attaches to wall construction.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Coordinate "Row Spacing," "Row Rise," and "Seat Type" subparagraphs below with manufacturers. Dimensional options in first two subparagraphs are examples only; dimensions vary with manufacturer and product.</w:t>
      </w:r>
    </w:p>
    <w:p>
      <w:pPr>
        <w:pStyle w:val="PR2"/>
        <w:numPr>
          <w:ilvl w:val="5"/>
          <w:numId w:val="1"/>
        </w:numPr>
        <w:rPr/>
      </w:pPr>
      <w:r>
        <w:rPr/>
        <w:t>Row Spacing: [</w:t>
      </w:r>
      <w:r>
        <w:rPr>
          <w:rStyle w:val="IP"/>
          <w:b/>
        </w:rPr>
        <w:t>22 inches</w:t>
      </w:r>
      <w:r>
        <w:rPr>
          <w:rStyle w:val="SI"/>
          <w:b/>
        </w:rPr>
        <w:t xml:space="preserve"> (560 mm)</w:t>
      </w:r>
      <w:r>
        <w:rPr/>
        <w:t>] [</w:t>
      </w:r>
      <w:r>
        <w:rPr>
          <w:rStyle w:val="IP"/>
          <w:b/>
        </w:rPr>
        <w:t>26 inches</w:t>
      </w:r>
      <w:r>
        <w:rPr>
          <w:rStyle w:val="SI"/>
          <w:b/>
        </w:rPr>
        <w:t xml:space="preserve"> (660 mm)</w:t>
      </w:r>
      <w:r>
        <w:rPr/>
        <w:t>] [</w:t>
      </w:r>
      <w:r>
        <w:rPr>
          <w:rStyle w:val="IP"/>
          <w:b/>
        </w:rPr>
        <w:t>32 inches</w:t>
      </w:r>
      <w:r>
        <w:rPr>
          <w:rStyle w:val="SI"/>
          <w:b/>
        </w:rPr>
        <w:t xml:space="preserve"> (813 mm)</w:t>
      </w:r>
      <w:r>
        <w:rPr/>
        <w:t>] [</w:t>
      </w:r>
      <w:r>
        <w:rPr>
          <w:b/>
        </w:rPr>
        <w:t>As indicated on Drawings</w:t>
      </w:r>
      <w:r>
        <w:rPr/>
        <w:t>] &lt;</w:t>
      </w:r>
      <w:r>
        <w:rPr>
          <w:b/>
        </w:rPr>
        <w:t>Insert dimension</w:t>
      </w:r>
      <w:r>
        <w:rPr/>
        <w:t>&gt;.</w:t>
      </w:r>
    </w:p>
    <w:p>
      <w:pPr>
        <w:pStyle w:val="CMT"/>
        <w:rPr/>
      </w:pPr>
      <w:r>
        <w:rPr/>
        <w:t>Consult manufacturers for recommendations on row-rise dimensions that produce optimal sight lines.</w:t>
      </w:r>
    </w:p>
    <w:p>
      <w:pPr>
        <w:pStyle w:val="PR2"/>
        <w:numPr>
          <w:ilvl w:val="5"/>
          <w:numId w:val="1"/>
        </w:numPr>
        <w:rPr/>
      </w:pPr>
      <w:r>
        <w:rPr/>
        <w:t>Row Rise: [</w:t>
      </w:r>
      <w:r>
        <w:rPr>
          <w:b/>
        </w:rPr>
        <w:t xml:space="preserve">one dimension between </w:t>
      </w:r>
      <w:r>
        <w:rPr>
          <w:rStyle w:val="IP"/>
          <w:b/>
        </w:rPr>
        <w:t>11 and 12 inches</w:t>
      </w:r>
      <w:r>
        <w:rPr>
          <w:rStyle w:val="SI"/>
          <w:b/>
        </w:rPr>
        <w:t xml:space="preserve"> (279 and 305 mm)</w:t>
      </w:r>
      <w:r>
        <w:rPr/>
        <w:t>] [</w:t>
      </w:r>
      <w:r>
        <w:rPr>
          <w:rStyle w:val="IP"/>
          <w:b/>
        </w:rPr>
        <w:t>16 inches</w:t>
      </w:r>
      <w:r>
        <w:rPr>
          <w:rStyle w:val="SI"/>
          <w:b/>
        </w:rPr>
        <w:t xml:space="preserve"> (406 mm)</w:t>
      </w:r>
      <w:r>
        <w:rPr/>
        <w:t>] [</w:t>
      </w:r>
      <w:r>
        <w:rPr>
          <w:b/>
        </w:rPr>
        <w:t>As indicated on Drawings</w:t>
      </w:r>
      <w:r>
        <w:rPr/>
        <w:t>] &lt;</w:t>
      </w:r>
      <w:r>
        <w:rPr>
          <w:b/>
        </w:rPr>
        <w:t>Insert dimension</w:t>
      </w:r>
      <w:r>
        <w:rPr/>
        <w:t>&gt;.</w:t>
      </w:r>
    </w:p>
    <w:p>
      <w:pPr>
        <w:pStyle w:val="CMT"/>
        <w:rPr/>
      </w:pPr>
      <w:r>
        <w:rPr/>
        <w:t>Coordinate "Seat Type" with requirements in "Components" Article below.</w:t>
      </w:r>
    </w:p>
    <w:p>
      <w:pPr>
        <w:pStyle w:val="PR2"/>
        <w:numPr>
          <w:ilvl w:val="5"/>
          <w:numId w:val="1"/>
        </w:numPr>
        <w:rPr/>
      </w:pPr>
      <w:r>
        <w:rPr/>
        <w:t>Seat Type: [</w:t>
      </w:r>
      <w:r>
        <w:rPr>
          <w:b/>
        </w:rPr>
        <w:t>Benches</w:t>
      </w:r>
      <w:r>
        <w:rPr/>
        <w:t>] [</w:t>
      </w:r>
      <w:r>
        <w:rPr>
          <w:b/>
        </w:rPr>
        <w:t>Chairs</w:t>
      </w:r>
      <w:r>
        <w:rPr/>
        <w:t>] &lt;</w:t>
      </w:r>
      <w:r>
        <w:rPr>
          <w:b/>
        </w:rPr>
        <w:t>Insert requirement</w:t>
      </w:r>
      <w:r>
        <w:rPr/>
        <w:t>&gt;.</w:t>
      </w:r>
    </w:p>
    <w:p>
      <w:pPr>
        <w:pStyle w:val="CMT"/>
        <w:rPr/>
      </w:pPr>
      <w:r>
        <w:rPr/>
        <w:t>Retain "Elevated Front Row" Subparagraph below if required.</w:t>
      </w:r>
    </w:p>
    <w:p>
      <w:pPr>
        <w:pStyle w:val="PR2"/>
        <w:numPr>
          <w:ilvl w:val="5"/>
          <w:numId w:val="1"/>
        </w:numPr>
        <w:rPr/>
      </w:pPr>
      <w:r>
        <w:rPr/>
        <w:t>Elevated Front Row: [</w:t>
      </w:r>
      <w:r>
        <w:rPr>
          <w:b/>
        </w:rPr>
        <w:t>Height indicated on Drawings</w:t>
      </w:r>
      <w:r>
        <w:rPr/>
        <w:t>] &lt;</w:t>
      </w:r>
      <w:r>
        <w:rPr>
          <w:b/>
        </w:rPr>
        <w:t>Insert dimension</w:t>
      </w:r>
      <w:r>
        <w:rPr/>
        <w:t>&gt;.</w:t>
      </w:r>
    </w:p>
    <w:p>
      <w:pPr>
        <w:pStyle w:val="PR2"/>
        <w:numPr>
          <w:ilvl w:val="5"/>
          <w:numId w:val="1"/>
        </w:numPr>
        <w:rPr/>
      </w:pPr>
      <w:r>
        <w:rPr/>
        <w:t>Operation: [</w:t>
      </w:r>
      <w:r>
        <w:rPr>
          <w:b/>
        </w:rPr>
        <w:t>Manually operated</w:t>
      </w:r>
      <w:r>
        <w:rPr/>
        <w:t>] [</w:t>
      </w:r>
      <w:r>
        <w:rPr>
          <w:b/>
        </w:rPr>
        <w:t>Electrically operated, with friction-type, integral power unit</w:t>
      </w:r>
      <w:r>
        <w:rPr/>
        <w:t>] [</w:t>
      </w:r>
      <w:r>
        <w:rPr>
          <w:b/>
        </w:rPr>
        <w:t>Electrically operated, with non-friction-type, integral power unit</w:t>
      </w:r>
      <w:r>
        <w:rPr/>
        <w:t>].</w:t>
      </w:r>
    </w:p>
    <w:p>
      <w:pPr>
        <w:pStyle w:val="CMT"/>
        <w:rPr/>
      </w:pPr>
      <w:r>
        <w:rPr/>
        <w:t>Retain "Electrical Characteristics for Each Seating Section" and "Electrical Controls" subparagraphs below if retaining an electrically operated option in "Operation" Subparagraph above. Coordinate requirements with Project's electrical engineer and verify, with manufacturers, the availability of options. Delete those electrical characteristics that are indicated on Drawings.</w:t>
      </w:r>
    </w:p>
    <w:p>
      <w:pPr>
        <w:pStyle w:val="PR2"/>
        <w:numPr>
          <w:ilvl w:val="5"/>
          <w:numId w:val="1"/>
        </w:numPr>
        <w:rPr/>
      </w:pPr>
      <w:r>
        <w:rPr/>
        <w:t>Electrical Characteristics for Each Seating Section:</w:t>
      </w:r>
    </w:p>
    <w:p>
      <w:pPr>
        <w:pStyle w:val="PR3"/>
        <w:numPr>
          <w:ilvl w:val="6"/>
          <w:numId w:val="1"/>
        </w:numPr>
        <w:spacing w:before="240" w:after="0"/>
        <w:rPr/>
      </w:pPr>
      <w:r>
        <w:rPr/>
        <w:t>Horsepower: [</w:t>
      </w:r>
      <w:r>
        <w:rPr>
          <w:b/>
        </w:rPr>
        <w:t>1/2</w:t>
      </w:r>
      <w:r>
        <w:rPr/>
        <w:t>] [</w:t>
      </w:r>
      <w:r>
        <w:rPr>
          <w:b/>
        </w:rPr>
        <w:t>1-1/2</w:t>
      </w:r>
      <w:r>
        <w:rPr/>
        <w:t>] [</w:t>
      </w:r>
      <w:r>
        <w:rPr>
          <w:b/>
        </w:rPr>
        <w:t>2</w:t>
      </w:r>
      <w:r>
        <w:rPr/>
        <w:t>] &lt;</w:t>
      </w:r>
      <w:r>
        <w:rPr>
          <w:b/>
        </w:rPr>
        <w:t>Insert horsepower</w:t>
      </w:r>
      <w:r>
        <w:rPr/>
        <w:t>&gt;.</w:t>
      </w:r>
    </w:p>
    <w:p>
      <w:pPr>
        <w:pStyle w:val="PR3"/>
        <w:numPr>
          <w:ilvl w:val="6"/>
          <w:numId w:val="1"/>
        </w:numPr>
        <w:rPr/>
      </w:pPr>
      <w:r>
        <w:rPr/>
        <w:t>Single-Phase Voltage: [</w:t>
      </w:r>
      <w:r>
        <w:rPr>
          <w:b/>
        </w:rPr>
        <w:t>115 V ac</w:t>
      </w:r>
      <w:r>
        <w:rPr/>
        <w:t>] [</w:t>
      </w:r>
      <w:r>
        <w:rPr>
          <w:b/>
        </w:rPr>
        <w:t>208 V ac</w:t>
      </w:r>
      <w:r>
        <w:rPr/>
        <w:t>] [</w:t>
      </w:r>
      <w:r>
        <w:rPr>
          <w:b/>
        </w:rPr>
        <w:t>230 V ac</w:t>
      </w:r>
      <w:r>
        <w:rPr/>
        <w:t>], 60 hertz.</w:t>
      </w:r>
    </w:p>
    <w:p>
      <w:pPr>
        <w:pStyle w:val="PR3"/>
        <w:numPr>
          <w:ilvl w:val="6"/>
          <w:numId w:val="1"/>
        </w:numPr>
        <w:rPr/>
      </w:pPr>
      <w:r>
        <w:rPr/>
        <w:t>Three-Phase Voltage: [</w:t>
      </w:r>
      <w:r>
        <w:rPr>
          <w:b/>
        </w:rPr>
        <w:t>208 V ac</w:t>
      </w:r>
      <w:r>
        <w:rPr/>
        <w:t>] [</w:t>
      </w:r>
      <w:r>
        <w:rPr>
          <w:b/>
        </w:rPr>
        <w:t>230 V ac</w:t>
      </w:r>
      <w:r>
        <w:rPr/>
        <w:t>] [</w:t>
      </w:r>
      <w:r>
        <w:rPr>
          <w:b/>
        </w:rPr>
        <w:t>460 V ac</w:t>
      </w:r>
      <w:r>
        <w:rPr/>
        <w:t>], 60 hertz.</w:t>
      </w:r>
    </w:p>
    <w:p>
      <w:pPr>
        <w:pStyle w:val="PR2"/>
        <w:numPr>
          <w:ilvl w:val="5"/>
          <w:numId w:val="1"/>
        </w:numPr>
        <w:spacing w:before="240" w:after="0"/>
        <w:rPr/>
      </w:pPr>
      <w:r>
        <w:rPr/>
        <w:t>Electrical Controls:</w:t>
      </w:r>
    </w:p>
    <w:p>
      <w:pPr>
        <w:pStyle w:val="PR3"/>
        <w:numPr>
          <w:ilvl w:val="6"/>
          <w:numId w:val="1"/>
        </w:numPr>
        <w:spacing w:before="240" w:after="0"/>
        <w:rPr/>
      </w:pPr>
      <w:r>
        <w:rPr/>
        <w:t>Control Devices: [</w:t>
      </w:r>
      <w:r>
        <w:rPr>
          <w:b/>
        </w:rPr>
        <w:t>Wall-attached</w:t>
      </w:r>
      <w:r>
        <w:rPr/>
        <w:t>] [</w:t>
      </w:r>
      <w:r>
        <w:rPr>
          <w:b/>
        </w:rPr>
        <w:t>Walk-along pendant</w:t>
      </w:r>
      <w:r>
        <w:rPr/>
        <w:t>] [</w:t>
      </w:r>
      <w:r>
        <w:rPr>
          <w:b/>
        </w:rPr>
        <w:t>Wireless</w:t>
      </w:r>
      <w:r>
        <w:rPr/>
        <w:t>] control system.</w:t>
      </w:r>
    </w:p>
    <w:p>
      <w:pPr>
        <w:pStyle w:val="PR3"/>
        <w:numPr>
          <w:ilvl w:val="6"/>
          <w:numId w:val="1"/>
        </w:numPr>
        <w:rPr/>
      </w:pPr>
      <w:r>
        <w:rPr/>
        <w:t>Limit Switches: Automatically stop power system when telescoping stands reach fully opened or closed positions.</w:t>
      </w:r>
    </w:p>
    <w:p>
      <w:pPr>
        <w:pStyle w:val="PR3"/>
        <w:numPr>
          <w:ilvl w:val="6"/>
          <w:numId w:val="1"/>
        </w:numPr>
        <w:rPr/>
      </w:pPr>
      <w:r>
        <w:rPr/>
        <w:t xml:space="preserve">Motion Monitor: Flashing light with self-contained warning horn, rated at 85 dB at </w:t>
      </w:r>
      <w:r>
        <w:rPr>
          <w:rStyle w:val="IP"/>
        </w:rPr>
        <w:t>10 feet</w:t>
      </w:r>
      <w:r>
        <w:rPr>
          <w:rStyle w:val="SI"/>
        </w:rPr>
        <w:t xml:space="preserve"> (3 m)</w:t>
      </w:r>
      <w:r>
        <w:rPr/>
        <w:t>, mounted under telescoping seating for audio and visual warning during operation.</w:t>
      </w:r>
    </w:p>
    <w:p>
      <w:pPr>
        <w:pStyle w:val="PR3"/>
        <w:numPr>
          <w:ilvl w:val="6"/>
          <w:numId w:val="1"/>
        </w:numPr>
        <w:rPr/>
      </w:pPr>
      <w:r>
        <w:rPr/>
        <w:t>Transformer: As required to coordinate current characteristics of motor and control station with building electrical system.</w:t>
      </w:r>
    </w:p>
    <w:p>
      <w:pPr>
        <w:pStyle w:val="PR1"/>
        <w:numPr>
          <w:ilvl w:val="4"/>
          <w:numId w:val="1"/>
        </w:numPr>
        <w:rPr/>
      </w:pPr>
      <w:r>
        <w:rPr/>
        <w:t>Recessed Telescoping Stands &lt;</w:t>
      </w:r>
      <w:r>
        <w:rPr>
          <w:b/>
        </w:rPr>
        <w:t>Insert drawing designation</w:t>
      </w:r>
      <w:r>
        <w:rPr/>
        <w:t>&gt;: Forward-folding system, in which the bleachers open in the forward direction by moving the front row away from the stack to the fully extended position and the rear of bleacher understructure permanently attaches to building construction so that closed stands are recessed in opening.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Coordinate "Row Spacing," "Row Rise," and "Seat Type" subparagraphs below with manufacturers. Dimensional options in first two subparagraphs are examples only; dimensions vary with manufacturer and product.</w:t>
      </w:r>
    </w:p>
    <w:p>
      <w:pPr>
        <w:pStyle w:val="PR2"/>
        <w:numPr>
          <w:ilvl w:val="5"/>
          <w:numId w:val="1"/>
        </w:numPr>
        <w:rPr/>
      </w:pPr>
      <w:r>
        <w:rPr/>
        <w:t>Row Spacing: [</w:t>
      </w:r>
      <w:r>
        <w:rPr>
          <w:rStyle w:val="IP"/>
          <w:b/>
        </w:rPr>
        <w:t>22 inches</w:t>
      </w:r>
      <w:r>
        <w:rPr>
          <w:rStyle w:val="SI"/>
          <w:b/>
        </w:rPr>
        <w:t xml:space="preserve"> (560 mm)</w:t>
      </w:r>
      <w:r>
        <w:rPr/>
        <w:t>] [</w:t>
      </w:r>
      <w:r>
        <w:rPr>
          <w:rStyle w:val="IP"/>
          <w:b/>
        </w:rPr>
        <w:t>26 inches</w:t>
      </w:r>
      <w:r>
        <w:rPr>
          <w:rStyle w:val="SI"/>
          <w:b/>
        </w:rPr>
        <w:t xml:space="preserve"> (660 mm)</w:t>
      </w:r>
      <w:r>
        <w:rPr/>
        <w:t>] [</w:t>
      </w:r>
      <w:r>
        <w:rPr>
          <w:rStyle w:val="IP"/>
          <w:b/>
        </w:rPr>
        <w:t>32 inches</w:t>
      </w:r>
      <w:r>
        <w:rPr>
          <w:rStyle w:val="SI"/>
          <w:b/>
        </w:rPr>
        <w:t xml:space="preserve"> (813 mm)</w:t>
      </w:r>
      <w:r>
        <w:rPr/>
        <w:t>] [</w:t>
      </w:r>
      <w:r>
        <w:rPr>
          <w:b/>
        </w:rPr>
        <w:t>As indicated on Drawings</w:t>
      </w:r>
      <w:r>
        <w:rPr/>
        <w:t>] &lt;</w:t>
      </w:r>
      <w:r>
        <w:rPr>
          <w:b/>
        </w:rPr>
        <w:t>Insert dimension</w:t>
      </w:r>
      <w:r>
        <w:rPr/>
        <w:t>&gt;.</w:t>
      </w:r>
    </w:p>
    <w:p>
      <w:pPr>
        <w:pStyle w:val="CMT"/>
        <w:rPr/>
      </w:pPr>
      <w:r>
        <w:rPr/>
        <w:t>Consult manufacturers for recommendations on row-rise dimensions that produce optimal sight lines.</w:t>
      </w:r>
    </w:p>
    <w:p>
      <w:pPr>
        <w:pStyle w:val="PR2"/>
        <w:numPr>
          <w:ilvl w:val="5"/>
          <w:numId w:val="1"/>
        </w:numPr>
        <w:rPr/>
      </w:pPr>
      <w:r>
        <w:rPr/>
        <w:t>Row Rise: [</w:t>
      </w:r>
      <w:r>
        <w:rPr>
          <w:b/>
        </w:rPr>
        <w:t xml:space="preserve">one dimension between </w:t>
      </w:r>
      <w:r>
        <w:rPr>
          <w:rStyle w:val="IP"/>
          <w:b/>
        </w:rPr>
        <w:t>11 and 12 inches</w:t>
      </w:r>
      <w:r>
        <w:rPr>
          <w:rStyle w:val="SI"/>
          <w:b/>
        </w:rPr>
        <w:t xml:space="preserve"> (279 and 305 mm)</w:t>
      </w:r>
      <w:r>
        <w:rPr/>
        <w:t>] [</w:t>
      </w:r>
      <w:r>
        <w:rPr>
          <w:rStyle w:val="IP"/>
          <w:b/>
        </w:rPr>
        <w:t>16 inches</w:t>
      </w:r>
      <w:r>
        <w:rPr>
          <w:rStyle w:val="SI"/>
          <w:b/>
        </w:rPr>
        <w:t xml:space="preserve"> (406 mm)</w:t>
      </w:r>
      <w:r>
        <w:rPr/>
        <w:t>] [</w:t>
      </w:r>
      <w:r>
        <w:rPr>
          <w:b/>
        </w:rPr>
        <w:t>As indicated on Drawings</w:t>
      </w:r>
      <w:r>
        <w:rPr/>
        <w:t>] &lt;</w:t>
      </w:r>
      <w:r>
        <w:rPr>
          <w:b/>
        </w:rPr>
        <w:t>Insert dimension</w:t>
      </w:r>
      <w:r>
        <w:rPr/>
        <w:t>&gt;.</w:t>
      </w:r>
    </w:p>
    <w:p>
      <w:pPr>
        <w:pStyle w:val="CMT"/>
        <w:rPr/>
      </w:pPr>
      <w:r>
        <w:rPr/>
        <w:t>Coordinate "Seat Type" Subparagraph below with requirements in "Components" Article.</w:t>
      </w:r>
    </w:p>
    <w:p>
      <w:pPr>
        <w:pStyle w:val="PR2"/>
        <w:numPr>
          <w:ilvl w:val="5"/>
          <w:numId w:val="1"/>
        </w:numPr>
        <w:rPr/>
      </w:pPr>
      <w:r>
        <w:rPr/>
        <w:t>Seat Type: [</w:t>
      </w:r>
      <w:r>
        <w:rPr>
          <w:b/>
        </w:rPr>
        <w:t>Benches</w:t>
      </w:r>
      <w:r>
        <w:rPr/>
        <w:t>] [</w:t>
      </w:r>
      <w:r>
        <w:rPr>
          <w:b/>
        </w:rPr>
        <w:t>Chairs</w:t>
      </w:r>
      <w:r>
        <w:rPr/>
        <w:t>] &lt;</w:t>
      </w:r>
      <w:r>
        <w:rPr>
          <w:b/>
        </w:rPr>
        <w:t>Insert requirement</w:t>
      </w:r>
      <w:r>
        <w:rPr/>
        <w:t>&gt;.</w:t>
      </w:r>
    </w:p>
    <w:p>
      <w:pPr>
        <w:pStyle w:val="CMT"/>
        <w:rPr/>
      </w:pPr>
      <w:r>
        <w:rPr/>
        <w:t>Retain "Elevated Front Row" Subparagraph below if required.</w:t>
      </w:r>
    </w:p>
    <w:p>
      <w:pPr>
        <w:pStyle w:val="PR2"/>
        <w:numPr>
          <w:ilvl w:val="5"/>
          <w:numId w:val="1"/>
        </w:numPr>
        <w:rPr/>
      </w:pPr>
      <w:r>
        <w:rPr/>
        <w:t>Elevated Front Row: [</w:t>
      </w:r>
      <w:r>
        <w:rPr>
          <w:b/>
        </w:rPr>
        <w:t>Height indicated on Drawings</w:t>
      </w:r>
      <w:r>
        <w:rPr/>
        <w:t>] &lt;</w:t>
      </w:r>
      <w:r>
        <w:rPr>
          <w:b/>
        </w:rPr>
        <w:t>Insert dimension</w:t>
      </w:r>
      <w:r>
        <w:rPr/>
        <w:t>&gt;.</w:t>
      </w:r>
    </w:p>
    <w:p>
      <w:pPr>
        <w:pStyle w:val="PR2"/>
        <w:numPr>
          <w:ilvl w:val="5"/>
          <w:numId w:val="1"/>
        </w:numPr>
        <w:rPr/>
      </w:pPr>
      <w:r>
        <w:rPr/>
        <w:t>Operation: [</w:t>
      </w:r>
      <w:r>
        <w:rPr>
          <w:b/>
        </w:rPr>
        <w:t>Manually operated</w:t>
      </w:r>
      <w:r>
        <w:rPr/>
        <w:t>] [</w:t>
      </w:r>
      <w:r>
        <w:rPr>
          <w:b/>
        </w:rPr>
        <w:t>Electrically operated, with friction-type, integral power unit</w:t>
      </w:r>
      <w:r>
        <w:rPr/>
        <w:t>] [</w:t>
      </w:r>
      <w:r>
        <w:rPr>
          <w:b/>
        </w:rPr>
        <w:t>Electrically operated, with non-friction-type, integral power unit</w:t>
      </w:r>
      <w:r>
        <w:rPr/>
        <w:t>].</w:t>
      </w:r>
    </w:p>
    <w:p>
      <w:pPr>
        <w:pStyle w:val="CMT"/>
        <w:rPr/>
      </w:pPr>
      <w:r>
        <w:rPr/>
        <w:t>Retain "Electrical Characteristics for Each Seating Section" and "Electrical Controls" subparagraphs below if retaining an electrically operated option in "Operation" Subparagraph above. Coordinate requirements with Project's electrical engineer and verify, with manufacturers, the availability of options. Delete those electrical characteristics that are indicated on Drawings.</w:t>
      </w:r>
    </w:p>
    <w:p>
      <w:pPr>
        <w:pStyle w:val="PR2"/>
        <w:numPr>
          <w:ilvl w:val="5"/>
          <w:numId w:val="1"/>
        </w:numPr>
        <w:rPr/>
      </w:pPr>
      <w:r>
        <w:rPr/>
        <w:t>Electrical Characteristics for Each Seating Section:</w:t>
      </w:r>
    </w:p>
    <w:p>
      <w:pPr>
        <w:pStyle w:val="PR3"/>
        <w:numPr>
          <w:ilvl w:val="6"/>
          <w:numId w:val="1"/>
        </w:numPr>
        <w:spacing w:before="240" w:after="0"/>
        <w:rPr/>
      </w:pPr>
      <w:r>
        <w:rPr/>
        <w:t>Horsepower: [</w:t>
      </w:r>
      <w:r>
        <w:rPr>
          <w:b/>
        </w:rPr>
        <w:t>1/2</w:t>
      </w:r>
      <w:r>
        <w:rPr/>
        <w:t>] [</w:t>
      </w:r>
      <w:r>
        <w:rPr>
          <w:b/>
        </w:rPr>
        <w:t>1-1/2</w:t>
      </w:r>
      <w:r>
        <w:rPr/>
        <w:t>] [</w:t>
      </w:r>
      <w:r>
        <w:rPr>
          <w:b/>
        </w:rPr>
        <w:t>2</w:t>
      </w:r>
      <w:r>
        <w:rPr/>
        <w:t>] &lt;</w:t>
      </w:r>
      <w:r>
        <w:rPr>
          <w:b/>
        </w:rPr>
        <w:t>Insert horsepower</w:t>
      </w:r>
      <w:r>
        <w:rPr/>
        <w:t>&gt;.</w:t>
      </w:r>
    </w:p>
    <w:p>
      <w:pPr>
        <w:pStyle w:val="PR3"/>
        <w:numPr>
          <w:ilvl w:val="6"/>
          <w:numId w:val="1"/>
        </w:numPr>
        <w:rPr/>
      </w:pPr>
      <w:r>
        <w:rPr/>
        <w:t>Single-Phase Voltage: [</w:t>
      </w:r>
      <w:r>
        <w:rPr>
          <w:b/>
        </w:rPr>
        <w:t>115 V ac</w:t>
      </w:r>
      <w:r>
        <w:rPr/>
        <w:t>] [</w:t>
      </w:r>
      <w:r>
        <w:rPr>
          <w:b/>
        </w:rPr>
        <w:t>208 V ac</w:t>
      </w:r>
      <w:r>
        <w:rPr/>
        <w:t>] [</w:t>
      </w:r>
      <w:r>
        <w:rPr>
          <w:b/>
        </w:rPr>
        <w:t>230 V ac</w:t>
      </w:r>
      <w:r>
        <w:rPr/>
        <w:t>], 60 hertz.</w:t>
      </w:r>
    </w:p>
    <w:p>
      <w:pPr>
        <w:pStyle w:val="PR3"/>
        <w:numPr>
          <w:ilvl w:val="6"/>
          <w:numId w:val="1"/>
        </w:numPr>
        <w:rPr/>
      </w:pPr>
      <w:r>
        <w:rPr/>
        <w:t>Three-Phase Voltage: [</w:t>
      </w:r>
      <w:r>
        <w:rPr>
          <w:b/>
        </w:rPr>
        <w:t>208 V ac</w:t>
      </w:r>
      <w:r>
        <w:rPr/>
        <w:t>] [</w:t>
      </w:r>
      <w:r>
        <w:rPr>
          <w:b/>
        </w:rPr>
        <w:t>230 V ac</w:t>
      </w:r>
      <w:r>
        <w:rPr/>
        <w:t>] [</w:t>
      </w:r>
      <w:r>
        <w:rPr>
          <w:b/>
        </w:rPr>
        <w:t>460 V ac</w:t>
      </w:r>
      <w:r>
        <w:rPr/>
        <w:t>], 60 hertz.</w:t>
      </w:r>
    </w:p>
    <w:p>
      <w:pPr>
        <w:pStyle w:val="PR2"/>
        <w:numPr>
          <w:ilvl w:val="5"/>
          <w:numId w:val="1"/>
        </w:numPr>
        <w:spacing w:before="240" w:after="0"/>
        <w:rPr/>
      </w:pPr>
      <w:r>
        <w:rPr/>
        <w:t>Electrical Controls:</w:t>
      </w:r>
    </w:p>
    <w:p>
      <w:pPr>
        <w:pStyle w:val="PR3"/>
        <w:numPr>
          <w:ilvl w:val="6"/>
          <w:numId w:val="1"/>
        </w:numPr>
        <w:spacing w:before="240" w:after="0"/>
        <w:rPr/>
      </w:pPr>
      <w:r>
        <w:rPr/>
        <w:t>Control Devices: [</w:t>
      </w:r>
      <w:r>
        <w:rPr>
          <w:b/>
        </w:rPr>
        <w:t>Wall-attached</w:t>
      </w:r>
      <w:r>
        <w:rPr/>
        <w:t>] [</w:t>
      </w:r>
      <w:r>
        <w:rPr>
          <w:b/>
        </w:rPr>
        <w:t>Walk-along pendant</w:t>
      </w:r>
      <w:r>
        <w:rPr/>
        <w:t>] [</w:t>
      </w:r>
      <w:r>
        <w:rPr>
          <w:b/>
        </w:rPr>
        <w:t>Wireless</w:t>
      </w:r>
      <w:r>
        <w:rPr/>
        <w:t>] control system.</w:t>
      </w:r>
    </w:p>
    <w:p>
      <w:pPr>
        <w:pStyle w:val="PR3"/>
        <w:numPr>
          <w:ilvl w:val="6"/>
          <w:numId w:val="1"/>
        </w:numPr>
        <w:rPr/>
      </w:pPr>
      <w:r>
        <w:rPr/>
        <w:t>Limit Switches: Automatically stop power system when telescoping stands reach fully opened or closed positions.</w:t>
      </w:r>
    </w:p>
    <w:p>
      <w:pPr>
        <w:pStyle w:val="PR3"/>
        <w:numPr>
          <w:ilvl w:val="6"/>
          <w:numId w:val="1"/>
        </w:numPr>
        <w:rPr/>
      </w:pPr>
      <w:r>
        <w:rPr/>
        <w:t xml:space="preserve">Motion Monitor: Flashing light with self-contained warning horn, rated at 85 dB at </w:t>
      </w:r>
      <w:r>
        <w:rPr>
          <w:rStyle w:val="IP"/>
        </w:rPr>
        <w:t>10 feet</w:t>
      </w:r>
      <w:r>
        <w:rPr>
          <w:rStyle w:val="SI"/>
        </w:rPr>
        <w:t xml:space="preserve"> (3 m)</w:t>
      </w:r>
      <w:r>
        <w:rPr/>
        <w:t>, mounted under telescoping seating for audio and visual warning during integral power operation.</w:t>
      </w:r>
    </w:p>
    <w:p>
      <w:pPr>
        <w:pStyle w:val="PR3"/>
        <w:numPr>
          <w:ilvl w:val="6"/>
          <w:numId w:val="1"/>
        </w:numPr>
        <w:rPr/>
      </w:pPr>
      <w:r>
        <w:rPr/>
        <w:t>Transformer: As required to coordinate current characteristics of motor and control station with building electrical system.</w:t>
      </w:r>
    </w:p>
    <w:p>
      <w:pPr>
        <w:pStyle w:val="PR1"/>
        <w:numPr>
          <w:ilvl w:val="4"/>
          <w:numId w:val="1"/>
        </w:numPr>
        <w:rPr/>
      </w:pPr>
      <w:r>
        <w:rPr/>
        <w:t>Freestanding, Forward-Folding, Telescoping Stands &lt;</w:t>
      </w:r>
      <w:r>
        <w:rPr>
          <w:b/>
        </w:rPr>
        <w:t>Insert drawing designation</w:t>
      </w:r>
      <w:r>
        <w:rPr/>
        <w:t>&gt;: Floor-attached system, in which the bleachers open in the forward direction, by moving the front row away from the stack to the fully extended position, and the rear of bleacher understructure permanently attaches to floor construction.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Coordinate "Row Spacing," "Row Rise," and "Seat Type" subparagraphs below with manufacturers. Dimensional options in first two subparagraphs are examples only; dimensions vary with manufacturer and product.</w:t>
      </w:r>
    </w:p>
    <w:p>
      <w:pPr>
        <w:pStyle w:val="PR2"/>
        <w:numPr>
          <w:ilvl w:val="5"/>
          <w:numId w:val="1"/>
        </w:numPr>
        <w:rPr/>
      </w:pPr>
      <w:r>
        <w:rPr/>
        <w:t>Row Spacing: [</w:t>
      </w:r>
      <w:r>
        <w:rPr>
          <w:rStyle w:val="IP"/>
          <w:b/>
        </w:rPr>
        <w:t>22 inches</w:t>
      </w:r>
      <w:r>
        <w:rPr>
          <w:rStyle w:val="SI"/>
          <w:b/>
        </w:rPr>
        <w:t xml:space="preserve"> (560 mm)</w:t>
      </w:r>
      <w:r>
        <w:rPr/>
        <w:t>] [</w:t>
      </w:r>
      <w:r>
        <w:rPr>
          <w:rStyle w:val="IP"/>
          <w:b/>
        </w:rPr>
        <w:t>26 inches</w:t>
      </w:r>
      <w:r>
        <w:rPr>
          <w:rStyle w:val="SI"/>
          <w:b/>
        </w:rPr>
        <w:t xml:space="preserve"> (660 mm)</w:t>
      </w:r>
      <w:r>
        <w:rPr/>
        <w:t>] [</w:t>
      </w:r>
      <w:r>
        <w:rPr>
          <w:rStyle w:val="IP"/>
          <w:b/>
        </w:rPr>
        <w:t>32 inches</w:t>
      </w:r>
      <w:r>
        <w:rPr>
          <w:rStyle w:val="SI"/>
          <w:b/>
        </w:rPr>
        <w:t xml:space="preserve"> (813 mm)</w:t>
      </w:r>
      <w:r>
        <w:rPr/>
        <w:t>] [</w:t>
      </w:r>
      <w:r>
        <w:rPr>
          <w:b/>
        </w:rPr>
        <w:t>As indicated on Drawings</w:t>
      </w:r>
      <w:r>
        <w:rPr/>
        <w:t>] &lt;</w:t>
      </w:r>
      <w:r>
        <w:rPr>
          <w:b/>
        </w:rPr>
        <w:t>Insert dimension</w:t>
      </w:r>
      <w:r>
        <w:rPr/>
        <w:t>&gt;.</w:t>
      </w:r>
    </w:p>
    <w:p>
      <w:pPr>
        <w:pStyle w:val="CMT"/>
        <w:rPr/>
      </w:pPr>
      <w:r>
        <w:rPr/>
        <w:t>Consult manufacturers for recommendations on row-rise dimensions that produce optimal sight lines.</w:t>
      </w:r>
    </w:p>
    <w:p>
      <w:pPr>
        <w:pStyle w:val="PR2"/>
        <w:numPr>
          <w:ilvl w:val="5"/>
          <w:numId w:val="1"/>
        </w:numPr>
        <w:rPr/>
      </w:pPr>
      <w:r>
        <w:rPr/>
        <w:t>Row Rise: [</w:t>
      </w:r>
      <w:r>
        <w:rPr>
          <w:b/>
        </w:rPr>
        <w:t xml:space="preserve">one dimension between </w:t>
      </w:r>
      <w:r>
        <w:rPr>
          <w:rStyle w:val="IP"/>
          <w:b/>
        </w:rPr>
        <w:t>11 and 12 inches</w:t>
      </w:r>
      <w:r>
        <w:rPr>
          <w:rStyle w:val="SI"/>
          <w:b/>
        </w:rPr>
        <w:t xml:space="preserve"> (279 and 305 mm)</w:t>
      </w:r>
      <w:r>
        <w:rPr/>
        <w:t>] [</w:t>
      </w:r>
      <w:r>
        <w:rPr>
          <w:rStyle w:val="IP"/>
          <w:b/>
        </w:rPr>
        <w:t>16 inches</w:t>
      </w:r>
      <w:r>
        <w:rPr>
          <w:rStyle w:val="SI"/>
          <w:b/>
        </w:rPr>
        <w:t xml:space="preserve"> (406 mm)</w:t>
      </w:r>
      <w:r>
        <w:rPr/>
        <w:t>] [</w:t>
      </w:r>
      <w:r>
        <w:rPr>
          <w:b/>
        </w:rPr>
        <w:t>As indicated on Drawings</w:t>
      </w:r>
      <w:r>
        <w:rPr/>
        <w:t>] &lt;</w:t>
      </w:r>
      <w:r>
        <w:rPr>
          <w:b/>
        </w:rPr>
        <w:t>Insert dimension</w:t>
      </w:r>
      <w:r>
        <w:rPr/>
        <w:t>&gt;.</w:t>
      </w:r>
    </w:p>
    <w:p>
      <w:pPr>
        <w:pStyle w:val="CMT"/>
        <w:rPr/>
      </w:pPr>
      <w:r>
        <w:rPr/>
        <w:t>Coordinate "Seat Type" Subparagraph below with requirements in "Components" Article.</w:t>
      </w:r>
    </w:p>
    <w:p>
      <w:pPr>
        <w:pStyle w:val="PR2"/>
        <w:numPr>
          <w:ilvl w:val="5"/>
          <w:numId w:val="1"/>
        </w:numPr>
        <w:rPr/>
      </w:pPr>
      <w:r>
        <w:rPr/>
        <w:t>Seat Type: [</w:t>
      </w:r>
      <w:r>
        <w:rPr>
          <w:b/>
        </w:rPr>
        <w:t>Benches</w:t>
      </w:r>
      <w:r>
        <w:rPr/>
        <w:t>] [</w:t>
      </w:r>
      <w:r>
        <w:rPr>
          <w:b/>
        </w:rPr>
        <w:t>Chairs</w:t>
      </w:r>
      <w:r>
        <w:rPr/>
        <w:t>] &lt;</w:t>
      </w:r>
      <w:r>
        <w:rPr>
          <w:b/>
        </w:rPr>
        <w:t>Insert requirement</w:t>
      </w:r>
      <w:r>
        <w:rPr/>
        <w:t>&gt;.</w:t>
      </w:r>
    </w:p>
    <w:p>
      <w:pPr>
        <w:pStyle w:val="CMT"/>
        <w:rPr/>
      </w:pPr>
      <w:r>
        <w:rPr/>
        <w:t>Retain "Elevated Front Row" Subparagraph below if required.</w:t>
      </w:r>
    </w:p>
    <w:p>
      <w:pPr>
        <w:pStyle w:val="PR2"/>
        <w:numPr>
          <w:ilvl w:val="5"/>
          <w:numId w:val="1"/>
        </w:numPr>
        <w:rPr/>
      </w:pPr>
      <w:r>
        <w:rPr/>
        <w:t>Elevated Front Row: [</w:t>
      </w:r>
      <w:r>
        <w:rPr>
          <w:b/>
        </w:rPr>
        <w:t>Height indicated on Drawings</w:t>
      </w:r>
      <w:r>
        <w:rPr/>
        <w:t>] &lt;</w:t>
      </w:r>
      <w:r>
        <w:rPr>
          <w:b/>
        </w:rPr>
        <w:t>Insert dimension</w:t>
      </w:r>
      <w:r>
        <w:rPr/>
        <w:t>&gt;.</w:t>
      </w:r>
    </w:p>
    <w:p>
      <w:pPr>
        <w:pStyle w:val="PR2"/>
        <w:numPr>
          <w:ilvl w:val="5"/>
          <w:numId w:val="1"/>
        </w:numPr>
        <w:rPr/>
      </w:pPr>
      <w:r>
        <w:rPr/>
        <w:t>Operation: [</w:t>
      </w:r>
      <w:r>
        <w:rPr>
          <w:b/>
        </w:rPr>
        <w:t>Manually operated</w:t>
      </w:r>
      <w:r>
        <w:rPr/>
        <w:t>] [</w:t>
      </w:r>
      <w:r>
        <w:rPr>
          <w:b/>
        </w:rPr>
        <w:t>Electrically operated, with friction-type, integral power unit</w:t>
      </w:r>
      <w:r>
        <w:rPr/>
        <w:t>] [</w:t>
      </w:r>
      <w:r>
        <w:rPr>
          <w:b/>
        </w:rPr>
        <w:t>Electrically operated, with non-friction-type, integral power unit</w:t>
      </w:r>
      <w:r>
        <w:rPr/>
        <w:t>].</w:t>
      </w:r>
    </w:p>
    <w:p>
      <w:pPr>
        <w:pStyle w:val="CMT"/>
        <w:rPr/>
      </w:pPr>
      <w:r>
        <w:rPr/>
        <w:t>Retain "Electrical Characteristics for Each Seating Section" and "Electrical Controls" subparagraphs below if retaining an electrically operated option in "Operation" Subparagraph above. Coordinate requirements with Project's electrical engineer and verify, with manufacturers, the availability of options. Delete those electrical characteristics that are indicated on Drawings.</w:t>
      </w:r>
    </w:p>
    <w:p>
      <w:pPr>
        <w:pStyle w:val="PR2"/>
        <w:numPr>
          <w:ilvl w:val="5"/>
          <w:numId w:val="1"/>
        </w:numPr>
        <w:rPr/>
      </w:pPr>
      <w:r>
        <w:rPr/>
        <w:t>Electrical Characteristics for Each Seating Section:</w:t>
      </w:r>
    </w:p>
    <w:p>
      <w:pPr>
        <w:pStyle w:val="PR3"/>
        <w:numPr>
          <w:ilvl w:val="6"/>
          <w:numId w:val="1"/>
        </w:numPr>
        <w:spacing w:before="240" w:after="0"/>
        <w:rPr/>
      </w:pPr>
      <w:r>
        <w:rPr/>
        <w:t>Horsepower: [</w:t>
      </w:r>
      <w:r>
        <w:rPr>
          <w:b/>
        </w:rPr>
        <w:t>1/2</w:t>
      </w:r>
      <w:r>
        <w:rPr/>
        <w:t>] [</w:t>
      </w:r>
      <w:r>
        <w:rPr>
          <w:b/>
        </w:rPr>
        <w:t>1-1/2</w:t>
      </w:r>
      <w:r>
        <w:rPr/>
        <w:t>] [</w:t>
      </w:r>
      <w:r>
        <w:rPr>
          <w:b/>
        </w:rPr>
        <w:t>2</w:t>
      </w:r>
      <w:r>
        <w:rPr/>
        <w:t>] &lt;</w:t>
      </w:r>
      <w:r>
        <w:rPr>
          <w:b/>
        </w:rPr>
        <w:t>Insert horsepower</w:t>
      </w:r>
      <w:r>
        <w:rPr/>
        <w:t>&gt;.</w:t>
      </w:r>
    </w:p>
    <w:p>
      <w:pPr>
        <w:pStyle w:val="PR3"/>
        <w:numPr>
          <w:ilvl w:val="6"/>
          <w:numId w:val="1"/>
        </w:numPr>
        <w:rPr/>
      </w:pPr>
      <w:r>
        <w:rPr/>
        <w:t>Single-Phase Voltage: [</w:t>
      </w:r>
      <w:r>
        <w:rPr>
          <w:b/>
        </w:rPr>
        <w:t>115 V ac</w:t>
      </w:r>
      <w:r>
        <w:rPr/>
        <w:t>] [</w:t>
      </w:r>
      <w:r>
        <w:rPr>
          <w:b/>
        </w:rPr>
        <w:t>208 V ac</w:t>
      </w:r>
      <w:r>
        <w:rPr/>
        <w:t>] [</w:t>
      </w:r>
      <w:r>
        <w:rPr>
          <w:b/>
        </w:rPr>
        <w:t>230 V ac</w:t>
      </w:r>
      <w:r>
        <w:rPr/>
        <w:t>], 60 hertz.</w:t>
      </w:r>
    </w:p>
    <w:p>
      <w:pPr>
        <w:pStyle w:val="PR3"/>
        <w:numPr>
          <w:ilvl w:val="6"/>
          <w:numId w:val="1"/>
        </w:numPr>
        <w:rPr/>
      </w:pPr>
      <w:r>
        <w:rPr/>
        <w:t>Three-Phase Voltage: [</w:t>
      </w:r>
      <w:r>
        <w:rPr>
          <w:b/>
        </w:rPr>
        <w:t>208 V ac</w:t>
      </w:r>
      <w:r>
        <w:rPr/>
        <w:t>] [</w:t>
      </w:r>
      <w:r>
        <w:rPr>
          <w:b/>
        </w:rPr>
        <w:t>230 V ac</w:t>
      </w:r>
      <w:r>
        <w:rPr/>
        <w:t>] [</w:t>
      </w:r>
      <w:r>
        <w:rPr>
          <w:b/>
        </w:rPr>
        <w:t>460 V ac</w:t>
      </w:r>
      <w:r>
        <w:rPr/>
        <w:t>], 60 hertz.</w:t>
      </w:r>
    </w:p>
    <w:p>
      <w:pPr>
        <w:pStyle w:val="PR2"/>
        <w:numPr>
          <w:ilvl w:val="5"/>
          <w:numId w:val="1"/>
        </w:numPr>
        <w:spacing w:before="240" w:after="0"/>
        <w:rPr/>
      </w:pPr>
      <w:r>
        <w:rPr/>
        <w:t>Electrical Controls:</w:t>
      </w:r>
    </w:p>
    <w:p>
      <w:pPr>
        <w:pStyle w:val="PR3"/>
        <w:numPr>
          <w:ilvl w:val="6"/>
          <w:numId w:val="1"/>
        </w:numPr>
        <w:spacing w:before="240" w:after="0"/>
        <w:rPr/>
      </w:pPr>
      <w:r>
        <w:rPr/>
        <w:t>Control Devices: [</w:t>
      </w:r>
      <w:r>
        <w:rPr>
          <w:b/>
        </w:rPr>
        <w:t>Wall-attached</w:t>
      </w:r>
      <w:r>
        <w:rPr/>
        <w:t>] [</w:t>
      </w:r>
      <w:r>
        <w:rPr>
          <w:b/>
        </w:rPr>
        <w:t>Walk-along pendant</w:t>
      </w:r>
      <w:r>
        <w:rPr/>
        <w:t>] [</w:t>
      </w:r>
      <w:r>
        <w:rPr>
          <w:b/>
        </w:rPr>
        <w:t>Wireless</w:t>
      </w:r>
      <w:r>
        <w:rPr/>
        <w:t>] control system.</w:t>
      </w:r>
    </w:p>
    <w:p>
      <w:pPr>
        <w:pStyle w:val="PR3"/>
        <w:numPr>
          <w:ilvl w:val="6"/>
          <w:numId w:val="1"/>
        </w:numPr>
        <w:rPr/>
      </w:pPr>
      <w:r>
        <w:rPr/>
        <w:t>Limit Switches: Automatically stop power system when telescoping stands reach fully opened or closed positions.</w:t>
      </w:r>
    </w:p>
    <w:p>
      <w:pPr>
        <w:pStyle w:val="PR3"/>
        <w:numPr>
          <w:ilvl w:val="6"/>
          <w:numId w:val="1"/>
        </w:numPr>
        <w:rPr/>
      </w:pPr>
      <w:r>
        <w:rPr/>
        <w:t xml:space="preserve">Motion Monitor: Flashing light with self-contained warning horn, rated at 85 dB at </w:t>
      </w:r>
      <w:r>
        <w:rPr>
          <w:rStyle w:val="IP"/>
        </w:rPr>
        <w:t>10 feet</w:t>
      </w:r>
      <w:r>
        <w:rPr>
          <w:rStyle w:val="SI"/>
        </w:rPr>
        <w:t xml:space="preserve"> (3 m)</w:t>
      </w:r>
      <w:r>
        <w:rPr/>
        <w:t>, mounted under telescoping seating for audio and visual warning during integral power operation.</w:t>
      </w:r>
    </w:p>
    <w:p>
      <w:pPr>
        <w:pStyle w:val="PR3"/>
        <w:numPr>
          <w:ilvl w:val="6"/>
          <w:numId w:val="1"/>
        </w:numPr>
        <w:rPr/>
      </w:pPr>
      <w:r>
        <w:rPr/>
        <w:t>Transformer: As required to coordinate current characteristics of motor and control station with building electrical system.</w:t>
      </w:r>
    </w:p>
    <w:p>
      <w:pPr>
        <w:pStyle w:val="PR1"/>
        <w:numPr>
          <w:ilvl w:val="4"/>
          <w:numId w:val="1"/>
        </w:numPr>
        <w:rPr/>
      </w:pPr>
      <w:r>
        <w:rPr/>
        <w:t>Freestanding, Reverse-Folding, Telescoping Stands &lt;</w:t>
      </w:r>
      <w:r>
        <w:rPr>
          <w:b/>
        </w:rPr>
        <w:t>Insert drawing designation</w:t>
      </w:r>
      <w:r>
        <w:rPr/>
        <w:t>&gt;: Floor-attached, reverse-opening system, in which the bleachers open in the backward direction, by moving the last row away from the stack to the fully extended position, and the front of bleacher understructure permanently attaches to floor construction.</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Coordinate "Row Spacing," "Row Rise," and "Seat Type" subparagraphs below with manufacturers. Dimensional options in first two subparagraphs are examples only; dimensions vary with manufacturer and product.</w:t>
      </w:r>
    </w:p>
    <w:p>
      <w:pPr>
        <w:pStyle w:val="PR2"/>
        <w:numPr>
          <w:ilvl w:val="5"/>
          <w:numId w:val="1"/>
        </w:numPr>
        <w:rPr/>
      </w:pPr>
      <w:r>
        <w:rPr/>
        <w:t>Row Spacing: [</w:t>
      </w:r>
      <w:r>
        <w:rPr>
          <w:rStyle w:val="IP"/>
          <w:b/>
        </w:rPr>
        <w:t>22 inches</w:t>
      </w:r>
      <w:r>
        <w:rPr>
          <w:rStyle w:val="SI"/>
          <w:b/>
        </w:rPr>
        <w:t xml:space="preserve"> (560 mm)</w:t>
      </w:r>
      <w:r>
        <w:rPr/>
        <w:t>] [</w:t>
      </w:r>
      <w:r>
        <w:rPr>
          <w:rStyle w:val="IP"/>
          <w:b/>
        </w:rPr>
        <w:t>26 inches</w:t>
      </w:r>
      <w:r>
        <w:rPr>
          <w:rStyle w:val="SI"/>
          <w:b/>
        </w:rPr>
        <w:t xml:space="preserve"> (660 mm)</w:t>
      </w:r>
      <w:r>
        <w:rPr/>
        <w:t>] [</w:t>
      </w:r>
      <w:r>
        <w:rPr>
          <w:rStyle w:val="IP"/>
          <w:b/>
        </w:rPr>
        <w:t>32 inches</w:t>
      </w:r>
      <w:r>
        <w:rPr>
          <w:rStyle w:val="SI"/>
          <w:b/>
        </w:rPr>
        <w:t xml:space="preserve"> (813 mm)</w:t>
      </w:r>
      <w:r>
        <w:rPr/>
        <w:t>] [</w:t>
      </w:r>
      <w:r>
        <w:rPr>
          <w:b/>
        </w:rPr>
        <w:t>As indicated on Drawings</w:t>
      </w:r>
      <w:r>
        <w:rPr/>
        <w:t>] &lt;</w:t>
      </w:r>
      <w:r>
        <w:rPr>
          <w:b/>
        </w:rPr>
        <w:t>Insert dimension</w:t>
      </w:r>
      <w:r>
        <w:rPr/>
        <w:t>&gt;.</w:t>
      </w:r>
    </w:p>
    <w:p>
      <w:pPr>
        <w:pStyle w:val="CMT"/>
        <w:rPr/>
      </w:pPr>
      <w:r>
        <w:rPr/>
        <w:t>Consult manufacturers for recommendations on row-rise dimensions that produce optimal sight lines.</w:t>
      </w:r>
    </w:p>
    <w:p>
      <w:pPr>
        <w:pStyle w:val="PR2"/>
        <w:numPr>
          <w:ilvl w:val="5"/>
          <w:numId w:val="1"/>
        </w:numPr>
        <w:rPr/>
      </w:pPr>
      <w:r>
        <w:rPr/>
        <w:t>Row Rise: [</w:t>
      </w:r>
      <w:r>
        <w:rPr>
          <w:b/>
        </w:rPr>
        <w:t xml:space="preserve">one dimension between </w:t>
      </w:r>
      <w:r>
        <w:rPr>
          <w:rStyle w:val="IP"/>
          <w:b/>
        </w:rPr>
        <w:t>11 and 12 inches</w:t>
      </w:r>
      <w:r>
        <w:rPr>
          <w:rStyle w:val="SI"/>
          <w:b/>
        </w:rPr>
        <w:t xml:space="preserve"> (279 and 305 mm)</w:t>
      </w:r>
      <w:r>
        <w:rPr/>
        <w:t>] [</w:t>
      </w:r>
      <w:r>
        <w:rPr>
          <w:rStyle w:val="IP"/>
          <w:b/>
        </w:rPr>
        <w:t>16 inches</w:t>
      </w:r>
      <w:r>
        <w:rPr>
          <w:rStyle w:val="SI"/>
          <w:b/>
        </w:rPr>
        <w:t xml:space="preserve"> (406 mm)</w:t>
      </w:r>
      <w:r>
        <w:rPr/>
        <w:t>] [</w:t>
      </w:r>
      <w:r>
        <w:rPr>
          <w:b/>
        </w:rPr>
        <w:t>As indicated on Drawings</w:t>
      </w:r>
      <w:r>
        <w:rPr/>
        <w:t>] &lt;</w:t>
      </w:r>
      <w:r>
        <w:rPr>
          <w:b/>
        </w:rPr>
        <w:t>Insert dimension</w:t>
      </w:r>
      <w:r>
        <w:rPr/>
        <w:t>&gt;.</w:t>
      </w:r>
    </w:p>
    <w:p>
      <w:pPr>
        <w:pStyle w:val="CMT"/>
        <w:rPr/>
      </w:pPr>
      <w:r>
        <w:rPr/>
        <w:t>Coordinate "Seat Type" Subparagraph below with requirements in "Components" Article below.</w:t>
      </w:r>
    </w:p>
    <w:p>
      <w:pPr>
        <w:pStyle w:val="PR2"/>
        <w:numPr>
          <w:ilvl w:val="5"/>
          <w:numId w:val="1"/>
        </w:numPr>
        <w:rPr/>
      </w:pPr>
      <w:r>
        <w:rPr/>
        <w:t>Seat Type: [</w:t>
      </w:r>
      <w:r>
        <w:rPr>
          <w:b/>
        </w:rPr>
        <w:t>Benches</w:t>
      </w:r>
      <w:r>
        <w:rPr/>
        <w:t>] [</w:t>
      </w:r>
      <w:r>
        <w:rPr>
          <w:b/>
        </w:rPr>
        <w:t>Chairs</w:t>
      </w:r>
      <w:r>
        <w:rPr/>
        <w:t>] &lt;</w:t>
      </w:r>
      <w:r>
        <w:rPr>
          <w:b/>
        </w:rPr>
        <w:t>Insert requirement</w:t>
      </w:r>
      <w:r>
        <w:rPr/>
        <w:t>&gt;.</w:t>
      </w:r>
    </w:p>
    <w:p>
      <w:pPr>
        <w:pStyle w:val="CMT"/>
        <w:rPr/>
      </w:pPr>
      <w:r>
        <w:rPr/>
        <w:t>Retain "Elevated Front Row" Subparagraph below if required.</w:t>
      </w:r>
    </w:p>
    <w:p>
      <w:pPr>
        <w:pStyle w:val="PR2"/>
        <w:numPr>
          <w:ilvl w:val="5"/>
          <w:numId w:val="1"/>
        </w:numPr>
        <w:rPr/>
      </w:pPr>
      <w:r>
        <w:rPr/>
        <w:t>Elevated Front Row: [</w:t>
      </w:r>
      <w:r>
        <w:rPr>
          <w:b/>
        </w:rPr>
        <w:t>Height indicated on Drawings</w:t>
      </w:r>
      <w:r>
        <w:rPr/>
        <w:t>] &lt;</w:t>
      </w:r>
      <w:r>
        <w:rPr>
          <w:b/>
        </w:rPr>
        <w:t>Insert dimension</w:t>
      </w:r>
      <w:r>
        <w:rPr/>
        <w:t>&gt;.</w:t>
      </w:r>
    </w:p>
    <w:p>
      <w:pPr>
        <w:pStyle w:val="CMT"/>
        <w:rPr/>
      </w:pPr>
      <w:r>
        <w:rPr/>
        <w:t>Retain "Aisle Recovery" Subparagraph below if required. This feature is also called "forward travel" and is not available with truncated systems.</w:t>
      </w:r>
    </w:p>
    <w:p>
      <w:pPr>
        <w:pStyle w:val="PR2"/>
        <w:numPr>
          <w:ilvl w:val="5"/>
          <w:numId w:val="1"/>
        </w:numPr>
        <w:rPr/>
      </w:pPr>
      <w:r>
        <w:rPr/>
        <w:t>Aisle Recovery: Equip unit with ability to create a front cross-aisle [</w:t>
      </w:r>
      <w:r>
        <w:rPr>
          <w:rStyle w:val="IP"/>
          <w:b/>
        </w:rPr>
        <w:t>36 inches</w:t>
      </w:r>
      <w:r>
        <w:rPr>
          <w:rStyle w:val="SI"/>
          <w:b/>
        </w:rPr>
        <w:t xml:space="preserve"> (914 mm)</w:t>
      </w:r>
      <w:r>
        <w:rPr/>
        <w:t>] [</w:t>
      </w:r>
      <w:r>
        <w:rPr>
          <w:rStyle w:val="IP"/>
          <w:b/>
        </w:rPr>
        <w:t>42 inches</w:t>
      </w:r>
      <w:r>
        <w:rPr>
          <w:rStyle w:val="SI"/>
          <w:b/>
        </w:rPr>
        <w:t xml:space="preserve"> (1067 mm)</w:t>
      </w:r>
      <w:r>
        <w:rPr/>
        <w:t>] &lt;</w:t>
      </w:r>
      <w:r>
        <w:rPr>
          <w:b/>
        </w:rPr>
        <w:t>Insert dimension</w:t>
      </w:r>
      <w:r>
        <w:rPr/>
        <w:t>&gt; wide when stand is open.</w:t>
      </w:r>
    </w:p>
    <w:p>
      <w:pPr>
        <w:pStyle w:val="PR2"/>
        <w:numPr>
          <w:ilvl w:val="5"/>
          <w:numId w:val="1"/>
        </w:numPr>
        <w:rPr/>
      </w:pPr>
      <w:r>
        <w:rPr/>
        <w:t>Operation: [</w:t>
      </w:r>
      <w:r>
        <w:rPr>
          <w:b/>
        </w:rPr>
        <w:t>Manually operated</w:t>
      </w:r>
      <w:r>
        <w:rPr/>
        <w:t>] [</w:t>
      </w:r>
      <w:r>
        <w:rPr>
          <w:b/>
        </w:rPr>
        <w:t>Electrically operated, with friction-type, integral power unit</w:t>
      </w:r>
      <w:r>
        <w:rPr/>
        <w:t>] [</w:t>
      </w:r>
      <w:r>
        <w:rPr>
          <w:b/>
        </w:rPr>
        <w:t>Electrically operated, with non-friction-type, integral power unit</w:t>
      </w:r>
      <w:r>
        <w:rPr/>
        <w:t>].</w:t>
      </w:r>
    </w:p>
    <w:p>
      <w:pPr>
        <w:pStyle w:val="CMT"/>
        <w:rPr/>
      </w:pPr>
      <w:r>
        <w:rPr/>
        <w:t>Retain "Electrical Characteristics for Each Seating Section" and "Electrical Controls" subparagraphs below if retaining an electrically operated option in "Operation" Subparagraph above. Coordinate requirements with Project's electrical engineer and verify, with manufacturers, the availability of options. Delete those electrical characteristics that are indicated on Drawings.</w:t>
      </w:r>
    </w:p>
    <w:p>
      <w:pPr>
        <w:pStyle w:val="PR2"/>
        <w:numPr>
          <w:ilvl w:val="5"/>
          <w:numId w:val="1"/>
        </w:numPr>
        <w:rPr/>
      </w:pPr>
      <w:r>
        <w:rPr/>
        <w:t>Electrical Characteristics for Each Seating Section:</w:t>
      </w:r>
    </w:p>
    <w:p>
      <w:pPr>
        <w:pStyle w:val="PR3"/>
        <w:numPr>
          <w:ilvl w:val="6"/>
          <w:numId w:val="1"/>
        </w:numPr>
        <w:spacing w:before="240" w:after="0"/>
        <w:rPr/>
      </w:pPr>
      <w:r>
        <w:rPr/>
        <w:t>Horsepower: [</w:t>
      </w:r>
      <w:r>
        <w:rPr>
          <w:b/>
        </w:rPr>
        <w:t>1/2</w:t>
      </w:r>
      <w:r>
        <w:rPr/>
        <w:t>] [</w:t>
      </w:r>
      <w:r>
        <w:rPr>
          <w:b/>
        </w:rPr>
        <w:t>1-1/2</w:t>
      </w:r>
      <w:r>
        <w:rPr/>
        <w:t>] [</w:t>
      </w:r>
      <w:r>
        <w:rPr>
          <w:b/>
        </w:rPr>
        <w:t>2</w:t>
      </w:r>
      <w:r>
        <w:rPr/>
        <w:t>] &lt;</w:t>
      </w:r>
      <w:r>
        <w:rPr>
          <w:b/>
        </w:rPr>
        <w:t>Insert horsepower</w:t>
      </w:r>
      <w:r>
        <w:rPr/>
        <w:t>&gt;.</w:t>
      </w:r>
    </w:p>
    <w:p>
      <w:pPr>
        <w:pStyle w:val="PR3"/>
        <w:numPr>
          <w:ilvl w:val="6"/>
          <w:numId w:val="1"/>
        </w:numPr>
        <w:rPr/>
      </w:pPr>
      <w:r>
        <w:rPr/>
        <w:t>Single-Phase Voltage: [</w:t>
      </w:r>
      <w:r>
        <w:rPr>
          <w:b/>
        </w:rPr>
        <w:t>115 V ac</w:t>
      </w:r>
      <w:r>
        <w:rPr/>
        <w:t>] [</w:t>
      </w:r>
      <w:r>
        <w:rPr>
          <w:b/>
        </w:rPr>
        <w:t>208 V ac</w:t>
      </w:r>
      <w:r>
        <w:rPr/>
        <w:t>] [</w:t>
      </w:r>
      <w:r>
        <w:rPr>
          <w:b/>
        </w:rPr>
        <w:t>230 V ac</w:t>
      </w:r>
      <w:r>
        <w:rPr/>
        <w:t>], 60 hertz.</w:t>
      </w:r>
    </w:p>
    <w:p>
      <w:pPr>
        <w:pStyle w:val="PR3"/>
        <w:numPr>
          <w:ilvl w:val="6"/>
          <w:numId w:val="1"/>
        </w:numPr>
        <w:rPr/>
      </w:pPr>
      <w:r>
        <w:rPr/>
        <w:t>Three-Phase Voltage: [</w:t>
      </w:r>
      <w:r>
        <w:rPr>
          <w:b/>
        </w:rPr>
        <w:t>208 V ac</w:t>
      </w:r>
      <w:r>
        <w:rPr/>
        <w:t>] [</w:t>
      </w:r>
      <w:r>
        <w:rPr>
          <w:b/>
        </w:rPr>
        <w:t>230 V ac</w:t>
      </w:r>
      <w:r>
        <w:rPr/>
        <w:t>] [</w:t>
      </w:r>
      <w:r>
        <w:rPr>
          <w:b/>
        </w:rPr>
        <w:t>460 V ac</w:t>
      </w:r>
      <w:r>
        <w:rPr/>
        <w:t>], 60 hertz.</w:t>
      </w:r>
    </w:p>
    <w:p>
      <w:pPr>
        <w:pStyle w:val="PR2"/>
        <w:numPr>
          <w:ilvl w:val="5"/>
          <w:numId w:val="1"/>
        </w:numPr>
        <w:spacing w:before="240" w:after="0"/>
        <w:rPr/>
      </w:pPr>
      <w:r>
        <w:rPr/>
        <w:t>Electrical Controls:</w:t>
      </w:r>
    </w:p>
    <w:p>
      <w:pPr>
        <w:pStyle w:val="PR3"/>
        <w:numPr>
          <w:ilvl w:val="6"/>
          <w:numId w:val="1"/>
        </w:numPr>
        <w:spacing w:before="240" w:after="0"/>
        <w:rPr/>
      </w:pPr>
      <w:r>
        <w:rPr/>
        <w:t>Control Devices: [</w:t>
      </w:r>
      <w:r>
        <w:rPr>
          <w:b/>
        </w:rPr>
        <w:t>Wall-attached</w:t>
      </w:r>
      <w:r>
        <w:rPr/>
        <w:t>] [</w:t>
      </w:r>
      <w:r>
        <w:rPr>
          <w:b/>
        </w:rPr>
        <w:t>Walk-along pendant</w:t>
      </w:r>
      <w:r>
        <w:rPr/>
        <w:t>] [</w:t>
      </w:r>
      <w:r>
        <w:rPr>
          <w:b/>
        </w:rPr>
        <w:t>Wireless</w:t>
      </w:r>
      <w:r>
        <w:rPr/>
        <w:t>] control system.</w:t>
      </w:r>
    </w:p>
    <w:p>
      <w:pPr>
        <w:pStyle w:val="PR3"/>
        <w:numPr>
          <w:ilvl w:val="6"/>
          <w:numId w:val="1"/>
        </w:numPr>
        <w:rPr/>
      </w:pPr>
      <w:r>
        <w:rPr/>
        <w:t>Limit Switches: Automatically stop power system when telescoping stands reach fully opened or closed positions.</w:t>
      </w:r>
    </w:p>
    <w:p>
      <w:pPr>
        <w:pStyle w:val="PR3"/>
        <w:numPr>
          <w:ilvl w:val="6"/>
          <w:numId w:val="1"/>
        </w:numPr>
        <w:rPr/>
      </w:pPr>
      <w:r>
        <w:rPr/>
        <w:t xml:space="preserve">Motion Monitor: Flashing light with self-contained warning horn, rated at 85 dB at </w:t>
      </w:r>
      <w:r>
        <w:rPr>
          <w:rStyle w:val="IP"/>
        </w:rPr>
        <w:t>10 feet</w:t>
      </w:r>
      <w:r>
        <w:rPr>
          <w:rStyle w:val="SI"/>
        </w:rPr>
        <w:t xml:space="preserve"> (3 m)</w:t>
      </w:r>
      <w:r>
        <w:rPr/>
        <w:t>, mounted under telescoping seating for audio and visual warning during integral power operation.</w:t>
      </w:r>
    </w:p>
    <w:p>
      <w:pPr>
        <w:pStyle w:val="PR3"/>
        <w:numPr>
          <w:ilvl w:val="6"/>
          <w:numId w:val="1"/>
        </w:numPr>
        <w:rPr/>
      </w:pPr>
      <w:r>
        <w:rPr/>
        <w:t>Transformer: As required to coordinate current characteristics of motor and control station with building electrical system.</w:t>
      </w:r>
    </w:p>
    <w:p>
      <w:pPr>
        <w:pStyle w:val="ART"/>
        <w:numPr>
          <w:ilvl w:val="3"/>
          <w:numId w:val="1"/>
        </w:numPr>
        <w:ind w:hanging="0" w:left="0"/>
        <w:rPr/>
      </w:pPr>
      <w:r>
        <w:rPr/>
        <w:t>COMPONENTS</w:t>
      </w:r>
    </w:p>
    <w:p>
      <w:pPr>
        <w:pStyle w:val="CMT"/>
        <w:rPr/>
      </w:pPr>
      <w:r>
        <w:rPr/>
        <w:t>Retain "Benches" Paragraph below if required.</w:t>
      </w:r>
    </w:p>
    <w:p>
      <w:pPr>
        <w:pStyle w:val="PR1"/>
        <w:numPr>
          <w:ilvl w:val="4"/>
          <w:numId w:val="1"/>
        </w:numPr>
        <w:rPr/>
      </w:pPr>
      <w:r>
        <w:rPr/>
        <w:t>Benches: Seats and skirts.</w:t>
      </w:r>
    </w:p>
    <w:p>
      <w:pPr>
        <w:pStyle w:val="PR2"/>
        <w:numPr>
          <w:ilvl w:val="5"/>
          <w:numId w:val="1"/>
        </w:numPr>
        <w:spacing w:before="240" w:after="0"/>
        <w:rPr/>
      </w:pPr>
      <w:r>
        <w:rPr/>
        <w:t>Material: [</w:t>
      </w:r>
      <w:r>
        <w:rPr>
          <w:b/>
        </w:rPr>
        <w:t>Lumber with transparent finish</w:t>
      </w:r>
      <w:r>
        <w:rPr/>
        <w:t>] [</w:t>
      </w:r>
      <w:r>
        <w:rPr>
          <w:b/>
        </w:rPr>
        <w:t>Molded plastic with contour surfaces</w:t>
      </w:r>
      <w:r>
        <w:rPr/>
        <w:t>] [</w:t>
      </w:r>
      <w:r>
        <w:rPr>
          <w:b/>
        </w:rPr>
        <w:t>Steel sheet with vinyl-clad finish</w:t>
      </w:r>
      <w:r>
        <w:rPr/>
        <w:t>] &lt;</w:t>
      </w:r>
      <w:r>
        <w:rPr>
          <w:b/>
        </w:rPr>
        <w:t>Insert material</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Manufacturer's standard</w:t>
      </w:r>
      <w:r>
        <w:rPr/>
        <w:t>] [</w:t>
      </w:r>
      <w:r>
        <w:rPr>
          <w:b/>
        </w:rPr>
        <w:t>As selected by Architect from manufacturer's standard</w:t>
      </w:r>
      <w:r>
        <w:rPr/>
        <w:t>] &lt;</w:t>
      </w:r>
      <w:r>
        <w:rPr>
          <w:b/>
        </w:rPr>
        <w:t>Insert color</w:t>
      </w:r>
      <w:r>
        <w:rPr/>
        <w:t>&gt;.</w:t>
      </w:r>
    </w:p>
    <w:p>
      <w:pPr>
        <w:pStyle w:val="PR2"/>
        <w:numPr>
          <w:ilvl w:val="5"/>
          <w:numId w:val="1"/>
        </w:numPr>
        <w:spacing w:before="240" w:after="0"/>
        <w:rPr/>
      </w:pPr>
      <w:r>
        <w:rPr/>
        <w:t>Bench Height: [</w:t>
      </w:r>
      <w:r>
        <w:rPr>
          <w:b/>
        </w:rPr>
        <w:t xml:space="preserve">Not less than </w:t>
      </w:r>
      <w:r>
        <w:rPr>
          <w:rStyle w:val="IP"/>
          <w:b/>
        </w:rPr>
        <w:t>16 inches</w:t>
      </w:r>
      <w:r>
        <w:rPr>
          <w:rStyle w:val="SI"/>
          <w:b/>
        </w:rPr>
        <w:t xml:space="preserve"> (406 mm)</w:t>
      </w:r>
      <w:r>
        <w:rPr>
          <w:b/>
        </w:rPr>
        <w:t xml:space="preserve"> or more than </w:t>
      </w:r>
      <w:r>
        <w:rPr>
          <w:rStyle w:val="IP"/>
          <w:b/>
        </w:rPr>
        <w:t>18 inches</w:t>
      </w:r>
      <w:r>
        <w:rPr>
          <w:rStyle w:val="SI"/>
          <w:b/>
        </w:rPr>
        <w:t xml:space="preserve"> (457 mm)</w:t>
      </w:r>
      <w:r>
        <w:rPr/>
        <w:t>] &lt;</w:t>
      </w:r>
      <w:r>
        <w:rPr>
          <w:b/>
        </w:rPr>
        <w:t>Insert requirement</w:t>
      </w:r>
      <w:r>
        <w:rPr/>
        <w:t>&gt;.</w:t>
      </w:r>
    </w:p>
    <w:p>
      <w:pPr>
        <w:pStyle w:val="CMT"/>
        <w:rPr/>
      </w:pPr>
      <w:r>
        <w:rPr/>
        <w:t>Coordinate dimension in "Bench Depth" Subparagraph below with seat material specified, row spacing, and requirements of authorities having jurisdiction.</w:t>
      </w:r>
    </w:p>
    <w:p>
      <w:pPr>
        <w:pStyle w:val="PR2"/>
        <w:numPr>
          <w:ilvl w:val="5"/>
          <w:numId w:val="1"/>
        </w:numPr>
        <w:rPr/>
      </w:pPr>
      <w:r>
        <w:rPr/>
        <w:t>Bench Depth: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w:t>
      </w:r>
    </w:p>
    <w:p>
      <w:pPr>
        <w:pStyle w:val="CMT"/>
        <w:rPr/>
      </w:pPr>
      <w:r>
        <w:rPr/>
        <w:t>Folding backrests typically require greater row spacing because most fold backward. Verify requirements with manufacturers.</w:t>
      </w:r>
    </w:p>
    <w:p>
      <w:pPr>
        <w:pStyle w:val="PR2"/>
        <w:numPr>
          <w:ilvl w:val="5"/>
          <w:numId w:val="1"/>
        </w:numPr>
        <w:rPr/>
      </w:pPr>
      <w:r>
        <w:rPr/>
        <w:t>Backs: Folding backrests permanently attached to bench units.</w:t>
      </w:r>
    </w:p>
    <w:p>
      <w:pPr>
        <w:pStyle w:val="PR3"/>
        <w:numPr>
          <w:ilvl w:val="6"/>
          <w:numId w:val="1"/>
        </w:numPr>
        <w:spacing w:before="240" w:after="0"/>
        <w:rPr/>
      </w:pPr>
      <w:r>
        <w:rPr/>
        <w:t>Material: [</w:t>
      </w:r>
      <w:r>
        <w:rPr>
          <w:b/>
        </w:rPr>
        <w:t>Lumber with transparent finish</w:t>
      </w:r>
      <w:r>
        <w:rPr/>
        <w:t>] [</w:t>
      </w:r>
      <w:r>
        <w:rPr>
          <w:b/>
        </w:rPr>
        <w:t>Molded plastic with contour support surface in color matching seat</w:t>
      </w:r>
      <w:r>
        <w:rPr/>
        <w:t>] &lt;</w:t>
      </w:r>
      <w:r>
        <w:rPr>
          <w:b/>
        </w:rPr>
        <w:t>Insert material</w:t>
      </w:r>
      <w:r>
        <w:rPr/>
        <w:t>&gt;.</w:t>
      </w:r>
    </w:p>
    <w:p>
      <w:pPr>
        <w:pStyle w:val="PR3"/>
        <w:numPr>
          <w:ilvl w:val="6"/>
          <w:numId w:val="1"/>
        </w:numPr>
        <w:rPr/>
      </w:pPr>
      <w:r>
        <w:rPr/>
        <w:t>Operation: [</w:t>
      </w:r>
      <w:r>
        <w:rPr>
          <w:b/>
        </w:rPr>
        <w:t>Manual</w:t>
      </w:r>
      <w:r>
        <w:rPr/>
        <w:t>] [</w:t>
      </w:r>
      <w:r>
        <w:rPr>
          <w:b/>
        </w:rPr>
        <w:t>Automatic</w:t>
      </w:r>
      <w:r>
        <w:rPr/>
        <w:t>].</w:t>
      </w:r>
    </w:p>
    <w:p>
      <w:pPr>
        <w:pStyle w:val="CMT"/>
        <w:rPr/>
      </w:pPr>
      <w:r>
        <w:rPr/>
        <w:t>Retain "Chairs" Paragraph below if required. Expand descriptions below to suit Project; revise for removable chairs. Products vary in materials and construction among manufacturers.</w:t>
      </w:r>
    </w:p>
    <w:p>
      <w:pPr>
        <w:pStyle w:val="PR1"/>
        <w:numPr>
          <w:ilvl w:val="4"/>
          <w:numId w:val="1"/>
        </w:numPr>
        <w:rPr/>
      </w:pPr>
      <w:r>
        <w:rPr/>
        <w:t>Chairs: Rotating from upright, locked position to folded-down position that allows supporting platform to telescope for storage.[</w:t>
      </w:r>
      <w:r>
        <w:rPr>
          <w:b/>
        </w:rPr>
        <w:t> In upright position, seats fold up to allow passage of persons within row.</w:t>
      </w:r>
      <w:r>
        <w:rPr/>
        <w:t>]</w:t>
      </w:r>
    </w:p>
    <w:p>
      <w:pPr>
        <w:pStyle w:val="PR2"/>
        <w:numPr>
          <w:ilvl w:val="5"/>
          <w:numId w:val="1"/>
        </w:numPr>
        <w:spacing w:before="240" w:after="0"/>
        <w:rPr/>
      </w:pPr>
      <w:r>
        <w:rPr/>
        <w:t>Operation: [</w:t>
      </w:r>
      <w:r>
        <w:rPr>
          <w:b/>
        </w:rPr>
        <w:t>Manual</w:t>
      </w:r>
      <w:r>
        <w:rPr/>
        <w:t>] [</w:t>
      </w:r>
      <w:r>
        <w:rPr>
          <w:b/>
        </w:rPr>
        <w:t>Spring-assisted, manual fold-up. Automatic release from upright position except for first row, and automatic fold-down to stored position</w:t>
      </w:r>
      <w:r>
        <w:rPr/>
        <w:t>] [</w:t>
      </w:r>
      <w:r>
        <w:rPr>
          <w:b/>
        </w:rPr>
        <w:t>Automatic</w:t>
      </w:r>
      <w:r>
        <w:rPr/>
        <w:t>] &lt;</w:t>
      </w:r>
      <w:r>
        <w:rPr>
          <w:b/>
        </w:rPr>
        <w:t>Insert description</w:t>
      </w:r>
      <w:r>
        <w:rPr/>
        <w:t>&gt;.</w:t>
      </w:r>
    </w:p>
    <w:p>
      <w:pPr>
        <w:pStyle w:val="CMT"/>
        <w:rPr/>
      </w:pPr>
      <w:r>
        <w:rPr/>
        <w:t>For some chair widths, availability of chairs with armrests varies with manufacturer.</w:t>
      </w:r>
    </w:p>
    <w:p>
      <w:pPr>
        <w:pStyle w:val="PR2"/>
        <w:numPr>
          <w:ilvl w:val="5"/>
          <w:numId w:val="1"/>
        </w:numPr>
        <w:rPr/>
      </w:pPr>
      <w:r>
        <w:rPr/>
        <w:t>Chair Width: [</w:t>
      </w:r>
      <w:r>
        <w:rPr>
          <w:b/>
        </w:rPr>
        <w:t>As indicated on Drawings</w:t>
      </w:r>
      <w:r>
        <w:rPr/>
        <w:t>] &lt;</w:t>
      </w:r>
      <w:r>
        <w:rPr>
          <w:b/>
        </w:rPr>
        <w:t>Insert width</w:t>
      </w:r>
      <w:r>
        <w:rPr/>
        <w:t>&gt;.</w:t>
      </w:r>
    </w:p>
    <w:p>
      <w:pPr>
        <w:pStyle w:val="PR2"/>
        <w:numPr>
          <w:ilvl w:val="5"/>
          <w:numId w:val="1"/>
        </w:numPr>
        <w:rPr/>
      </w:pPr>
      <w:r>
        <w:rPr/>
        <w:t>Seat Height: [</w:t>
      </w:r>
      <w:r>
        <w:rPr>
          <w:b/>
        </w:rPr>
        <w:t xml:space="preserve">Not less than </w:t>
      </w:r>
      <w:r>
        <w:rPr>
          <w:rStyle w:val="IP"/>
          <w:b/>
        </w:rPr>
        <w:t>17 inches</w:t>
      </w:r>
      <w:r>
        <w:rPr>
          <w:rStyle w:val="SI"/>
          <w:b/>
        </w:rPr>
        <w:t xml:space="preserve"> (432 mm)</w:t>
      </w:r>
      <w:r>
        <w:rPr>
          <w:b/>
        </w:rPr>
        <w:t xml:space="preserve"> or more than </w:t>
      </w:r>
      <w:r>
        <w:rPr>
          <w:rStyle w:val="IP"/>
          <w:b/>
        </w:rPr>
        <w:t>18 inches</w:t>
      </w:r>
      <w:r>
        <w:rPr>
          <w:rStyle w:val="SI"/>
          <w:b/>
        </w:rPr>
        <w:t xml:space="preserve"> (457 mm)</w:t>
      </w:r>
      <w:r>
        <w:rPr/>
        <w:t>] &lt;</w:t>
      </w:r>
      <w:r>
        <w:rPr>
          <w:b/>
        </w:rPr>
        <w:t>Insert requirement</w:t>
      </w:r>
      <w:r>
        <w:rPr/>
        <w:t>&gt;.</w:t>
      </w:r>
    </w:p>
    <w:p>
      <w:pPr>
        <w:pStyle w:val="CMT"/>
        <w:rPr/>
      </w:pPr>
      <w:r>
        <w:rPr/>
        <w:t>Coordinate, with manufacturers, options retained in "Seats" Subparagraph below for seats, backs, and armrests. Revise if more than one color is required or if color is specified.</w:t>
      </w:r>
    </w:p>
    <w:p>
      <w:pPr>
        <w:pStyle w:val="PR2"/>
        <w:numPr>
          <w:ilvl w:val="5"/>
          <w:numId w:val="1"/>
        </w:numPr>
        <w:rPr/>
      </w:pPr>
      <w:r>
        <w:rPr/>
        <w:t>Seats: [</w:t>
      </w:r>
      <w:r>
        <w:rPr>
          <w:b/>
        </w:rPr>
        <w:t>Molded plastic</w:t>
      </w:r>
      <w:r>
        <w:rPr/>
        <w:t>] [</w:t>
      </w:r>
      <w:r>
        <w:rPr>
          <w:b/>
        </w:rPr>
        <w:t>Molded plastic with padded upholstery insert</w:t>
      </w:r>
      <w:r>
        <w:rPr/>
        <w:t>] [</w:t>
      </w:r>
      <w:r>
        <w:rPr>
          <w:b/>
        </w:rPr>
        <w:t>Fully upholstered, self-rising, folding</w:t>
      </w:r>
      <w:r>
        <w:rPr/>
        <w:t>] &lt;</w:t>
      </w:r>
      <w:r>
        <w:rPr>
          <w:b/>
        </w:rPr>
        <w:t>Insert description</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Manufacturer's standard</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Backs: [</w:t>
      </w:r>
      <w:r>
        <w:rPr>
          <w:b/>
        </w:rPr>
        <w:t>Molded plastic</w:t>
      </w:r>
      <w:r>
        <w:rPr/>
        <w:t>] [</w:t>
      </w:r>
      <w:r>
        <w:rPr>
          <w:b/>
        </w:rPr>
        <w:t>Molded plastic with padded upholstery insert</w:t>
      </w:r>
      <w:r>
        <w:rPr/>
        <w:t>] [</w:t>
      </w:r>
      <w:r>
        <w:rPr>
          <w:b/>
        </w:rPr>
        <w:t>Fully upholstered</w:t>
      </w:r>
      <w:r>
        <w:rPr/>
        <w:t>] &lt;</w:t>
      </w:r>
      <w:r>
        <w:rPr>
          <w:b/>
        </w:rPr>
        <w:t>Insert description</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Manufacturer's standard</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Armrests: [</w:t>
      </w:r>
      <w:r>
        <w:rPr>
          <w:b/>
        </w:rPr>
        <w:t>Molded plastic</w:t>
      </w:r>
      <w:r>
        <w:rPr/>
        <w:t>] [</w:t>
      </w:r>
      <w:r>
        <w:rPr>
          <w:b/>
        </w:rPr>
        <w:t>Molded plastic, self-rising and self-storing</w:t>
      </w:r>
      <w:r>
        <w:rPr/>
        <w:t>] [</w:t>
      </w:r>
      <w:r>
        <w:rPr>
          <w:b/>
        </w:rPr>
        <w:t>with cup holder</w:t>
      </w:r>
      <w:r>
        <w:rPr/>
        <w:t>] &lt;</w:t>
      </w:r>
      <w:r>
        <w:rPr>
          <w:b/>
        </w:rPr>
        <w:t>Insert description</w:t>
      </w:r>
      <w:r>
        <w:rPr/>
        <w:t>&gt;.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Manufacturer's standard</w:t>
      </w:r>
      <w:r>
        <w:rPr/>
        <w:t>] [</w:t>
      </w:r>
      <w:r>
        <w:rPr>
          <w:b/>
        </w:rPr>
        <w:t>As selected by Architect from manufacturer's full range</w:t>
      </w:r>
      <w:r>
        <w:rPr/>
        <w:t>] &lt;</w:t>
      </w:r>
      <w:r>
        <w:rPr>
          <w:b/>
        </w:rPr>
        <w:t>Insert color</w:t>
      </w:r>
      <w:r>
        <w:rPr/>
        <w:t>&gt;.</w:t>
      </w:r>
    </w:p>
    <w:p>
      <w:pPr>
        <w:pStyle w:val="CMT"/>
        <w:rPr/>
      </w:pPr>
      <w:r>
        <w:rPr/>
        <w:t>If specific colors or designs are required for chair supports, insert requirements here.</w:t>
      </w:r>
    </w:p>
    <w:p>
      <w:pPr>
        <w:pStyle w:val="CMT"/>
        <w:rPr/>
      </w:pPr>
      <w:r>
        <w:rPr/>
        <w:t>Retain "Wheelchair-Accessible Seating" Paragraph below and indicate number and locations of wheelchair-accessible seating on Drawings according to accessibility requirements.</w:t>
      </w:r>
    </w:p>
    <w:p>
      <w:pPr>
        <w:pStyle w:val="PR1"/>
        <w:numPr>
          <w:ilvl w:val="4"/>
          <w:numId w:val="1"/>
        </w:numPr>
        <w:rPr/>
      </w:pPr>
      <w:r>
        <w:rPr/>
        <w:t>Wheelchair-Accessible Seating: Locate [</w:t>
      </w:r>
      <w:r>
        <w:rPr>
          <w:b/>
        </w:rPr>
        <w:t>seating cutouts</w:t>
      </w:r>
      <w:r>
        <w:rPr/>
        <w:t>] [</w:t>
      </w:r>
      <w:r>
        <w:rPr>
          <w:b/>
        </w:rPr>
        <w:t>retractable truncated benches</w:t>
      </w:r>
      <w:r>
        <w:rPr/>
        <w:t>] [</w:t>
      </w:r>
      <w:r>
        <w:rPr>
          <w:b/>
        </w:rPr>
        <w:t>removable modular chairs</w:t>
      </w:r>
      <w:r>
        <w:rPr/>
        <w:t>] [</w:t>
      </w:r>
      <w:r>
        <w:rPr>
          <w:b/>
        </w:rPr>
        <w:t>aisle seats without armrests, with folding armrests, or with removable armrests</w:t>
      </w:r>
      <w:r>
        <w:rPr/>
        <w:t>] &lt;</w:t>
      </w:r>
      <w:r>
        <w:rPr>
          <w:b/>
        </w:rPr>
        <w:t>Insert requirements</w:t>
      </w:r>
      <w:r>
        <w:rPr/>
        <w:t>&gt; to provide wheelchair-accessible seating at locations indicated on Drawings.</w:t>
      </w:r>
    </w:p>
    <w:p>
      <w:pPr>
        <w:pStyle w:val="PR2"/>
        <w:numPr>
          <w:ilvl w:val="5"/>
          <w:numId w:val="1"/>
        </w:numPr>
        <w:spacing w:before="240" w:after="0"/>
        <w:rPr/>
      </w:pPr>
      <w:r>
        <w:rPr/>
        <w:t>Equip tiers adjacent to wheelchair-accessible seating with front rails as required by ICC 300.</w:t>
      </w:r>
    </w:p>
    <w:p>
      <w:pPr>
        <w:pStyle w:val="CMT"/>
        <w:rPr/>
      </w:pPr>
      <w:r>
        <w:rPr/>
        <w:t>Retain subparagraph below for cutouts for wheelchair-accessible seating.</w:t>
      </w:r>
    </w:p>
    <w:p>
      <w:pPr>
        <w:pStyle w:val="PR2"/>
        <w:numPr>
          <w:ilvl w:val="5"/>
          <w:numId w:val="1"/>
        </w:numPr>
        <w:rPr/>
      </w:pPr>
      <w:r>
        <w:rPr/>
        <w:t xml:space="preserve">Equip cutouts with full-width front closure panels that match decking construction and finish and that extend from underside of tiers adjacent to cutouts to </w:t>
      </w:r>
      <w:r>
        <w:rPr>
          <w:rStyle w:val="IP"/>
        </w:rPr>
        <w:t>1-1/2 inches</w:t>
      </w:r>
      <w:r>
        <w:rPr>
          <w:rStyle w:val="SI"/>
        </w:rPr>
        <w:t xml:space="preserve"> (38 mm)</w:t>
      </w:r>
      <w:r>
        <w:rPr/>
        <w:t xml:space="preserve"> from finished floor.</w:t>
      </w:r>
    </w:p>
    <w:p>
      <w:pPr>
        <w:pStyle w:val="PR1"/>
        <w:numPr>
          <w:ilvl w:val="4"/>
          <w:numId w:val="1"/>
        </w:numPr>
        <w:rPr/>
      </w:pPr>
      <w:r>
        <w:rPr/>
        <w:t>Deck: [</w:t>
      </w:r>
      <w:r>
        <w:rPr>
          <w:b/>
        </w:rPr>
        <w:t>Aluminum</w:t>
      </w:r>
      <w:r>
        <w:rPr/>
        <w:t>] [</w:t>
      </w:r>
      <w:r>
        <w:rPr>
          <w:b/>
        </w:rPr>
        <w:t xml:space="preserve">Plywood, </w:t>
      </w:r>
      <w:r>
        <w:rPr>
          <w:rStyle w:val="IP"/>
          <w:b/>
        </w:rPr>
        <w:t>5/8 inch</w:t>
      </w:r>
      <w:r>
        <w:rPr>
          <w:rStyle w:val="SI"/>
          <w:b/>
        </w:rPr>
        <w:t xml:space="preserve"> (16 mm)</w:t>
      </w:r>
      <w:r>
        <w:rPr>
          <w:b/>
        </w:rPr>
        <w:t xml:space="preserve"> thick</w:t>
      </w:r>
      <w:r>
        <w:rPr/>
        <w:t>] [</w:t>
      </w:r>
      <w:r>
        <w:rPr>
          <w:b/>
        </w:rPr>
        <w:t xml:space="preserve">Plywood, </w:t>
      </w:r>
      <w:r>
        <w:rPr>
          <w:rStyle w:val="IP"/>
          <w:b/>
        </w:rPr>
        <w:t>3/4 inch</w:t>
      </w:r>
      <w:r>
        <w:rPr>
          <w:rStyle w:val="SI"/>
          <w:b/>
        </w:rPr>
        <w:t xml:space="preserve"> (19 mm)</w:t>
      </w:r>
      <w:r>
        <w:rPr>
          <w:b/>
        </w:rPr>
        <w:t xml:space="preserve"> thick</w:t>
      </w:r>
      <w:r>
        <w:rPr/>
        <w:t>] [</w:t>
      </w:r>
      <w:r>
        <w:rPr>
          <w:b/>
        </w:rPr>
        <w:t>Manufacturer's standard laminated panel</w:t>
      </w:r>
      <w:r>
        <w:rPr/>
        <w:t>] &lt;</w:t>
      </w:r>
      <w:r>
        <w:rPr>
          <w:b/>
        </w:rPr>
        <w:t>Insert requirement</w:t>
      </w:r>
      <w:r>
        <w:rPr/>
        <w:t>&gt;.</w:t>
      </w:r>
    </w:p>
    <w:p>
      <w:pPr>
        <w:pStyle w:val="CMT"/>
        <w:rPr/>
      </w:pPr>
      <w:r>
        <w:rPr/>
        <w:t>In "Finish" Subparagraph below, retain one of first three options for aluminum and one of next four for plywood or laminated-panel option. Consult manufacturers on availability.</w:t>
      </w:r>
    </w:p>
    <w:p>
      <w:pPr>
        <w:pStyle w:val="PR2"/>
        <w:numPr>
          <w:ilvl w:val="5"/>
          <w:numId w:val="1"/>
        </w:numPr>
        <w:spacing w:before="240" w:after="0"/>
        <w:rPr/>
      </w:pPr>
      <w:r>
        <w:rPr/>
        <w:t>Finish: [</w:t>
      </w:r>
      <w:r>
        <w:rPr>
          <w:b/>
        </w:rPr>
        <w:t>Mill</w:t>
      </w:r>
      <w:r>
        <w:rPr/>
        <w:t>] [</w:t>
      </w:r>
      <w:r>
        <w:rPr>
          <w:b/>
        </w:rPr>
        <w:t>Clear anodized</w:t>
      </w:r>
      <w:r>
        <w:rPr/>
        <w:t>] [</w:t>
      </w:r>
      <w:r>
        <w:rPr>
          <w:b/>
        </w:rPr>
        <w:t>Color anodized</w:t>
      </w:r>
      <w:r>
        <w:rPr/>
        <w:t>] [</w:t>
      </w:r>
      <w:r>
        <w:rPr>
          <w:b/>
        </w:rPr>
        <w:t>Polyethylene textured overlay bonded to substrate with exterior glue</w:t>
      </w:r>
      <w:r>
        <w:rPr/>
        <w:t>] [</w:t>
      </w:r>
      <w:r>
        <w:rPr>
          <w:b/>
        </w:rPr>
        <w:t>Transparent</w:t>
      </w:r>
      <w:r>
        <w:rPr/>
        <w:t>] [</w:t>
      </w:r>
      <w:r>
        <w:rPr>
          <w:b/>
        </w:rPr>
        <w:t>Paint</w:t>
      </w:r>
      <w:r>
        <w:rPr/>
        <w:t>] [</w:t>
      </w:r>
      <w:r>
        <w:rPr>
          <w:b/>
        </w:rPr>
        <w:t>Manufacturer's standard carpet bonded to substrate</w:t>
      </w:r>
      <w:r>
        <w:rPr/>
        <w:t>] [</w:t>
      </w:r>
      <w:r>
        <w:rPr>
          <w:b/>
        </w:rPr>
        <w:t>Manufacturer's standard</w:t>
      </w:r>
      <w:r>
        <w:rPr/>
        <w:t>] &lt;</w:t>
      </w:r>
      <w:r>
        <w:rPr>
          <w:b/>
        </w:rPr>
        <w:t>Insert requirements</w:t>
      </w:r>
      <w:r>
        <w:rPr/>
        <w:t>&gt;.</w:t>
      </w:r>
    </w:p>
    <w:p>
      <w:pPr>
        <w:pStyle w:val="CMT"/>
        <w:rPr/>
      </w:pPr>
      <w:r>
        <w:rPr/>
        <w:t>Delete "Color" Subparagraph below for clear-anodized finish.</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Manufacturer's standard</w:t>
      </w:r>
      <w:r>
        <w:rPr/>
        <w:t>] [</w:t>
      </w:r>
      <w:r>
        <w:rPr>
          <w:b/>
        </w:rPr>
        <w:t>As selected by Architect from manufacturer's standard colors</w:t>
      </w:r>
      <w:r>
        <w:rPr/>
        <w:t>] &lt;</w:t>
      </w:r>
      <w:r>
        <w:rPr>
          <w:b/>
        </w:rPr>
        <w:t>Insert color</w:t>
      </w:r>
      <w:r>
        <w:rPr/>
        <w:t>&gt;.</w:t>
      </w:r>
    </w:p>
    <w:p>
      <w:pPr>
        <w:pStyle w:val="PR1"/>
        <w:numPr>
          <w:ilvl w:val="4"/>
          <w:numId w:val="1"/>
        </w:numPr>
        <w:rPr/>
      </w:pPr>
      <w:r>
        <w:rPr/>
        <w:t>Risers: Steel sheet with manufacturer's standard, rust-inhibiting coating or hot-dip galvanized finish.</w:t>
      </w:r>
    </w:p>
    <w:p>
      <w:pPr>
        <w:pStyle w:val="CMT"/>
        <w:rPr/>
      </w:pPr>
      <w:r>
        <w:rPr/>
        <w:t>Revise "Safety Rails" Paragraph below if aluminum rails are required.</w:t>
      </w:r>
    </w:p>
    <w:p>
      <w:pPr>
        <w:pStyle w:val="PR1"/>
        <w:numPr>
          <w:ilvl w:val="4"/>
          <w:numId w:val="1"/>
        </w:numPr>
        <w:rPr/>
      </w:pPr>
      <w:r>
        <w:rPr/>
        <w:t>Safety Rails: Steel, finished with manufacturer's standard powder coat system.</w:t>
      </w:r>
    </w:p>
    <w:p>
      <w:pPr>
        <w:pStyle w:val="PR2"/>
        <w:numPr>
          <w:ilvl w:val="5"/>
          <w:numId w:val="1"/>
        </w:numPr>
        <w:spacing w:before="240" w:after="0"/>
        <w:rPr/>
      </w:pPr>
      <w:r>
        <w:rPr/>
        <w:t>[</w:t>
      </w:r>
      <w:r>
        <w:rPr>
          <w:b/>
        </w:rPr>
        <w:t>Removable</w:t>
      </w:r>
      <w:r>
        <w:rPr/>
        <w:t>] [</w:t>
      </w:r>
      <w:r>
        <w:rPr>
          <w:b/>
        </w:rPr>
        <w:t>Folding</w:t>
      </w:r>
      <w:r>
        <w:rPr/>
        <w:t>] [</w:t>
      </w:r>
      <w:r>
        <w:rPr>
          <w:b/>
        </w:rPr>
        <w:t>Self-storing</w:t>
      </w:r>
      <w:r>
        <w:rPr/>
        <w:t>] mid-aisle handrails located at centerline of each aisle with seating on both sides.</w:t>
      </w:r>
    </w:p>
    <w:p>
      <w:pPr>
        <w:pStyle w:val="PR2"/>
        <w:numPr>
          <w:ilvl w:val="5"/>
          <w:numId w:val="1"/>
        </w:numPr>
        <w:rPr/>
      </w:pPr>
      <w:r>
        <w:rPr/>
        <w:t>End rails (guards) that are [</w:t>
      </w:r>
      <w:r>
        <w:rPr>
          <w:b/>
        </w:rPr>
        <w:t>telescoping and self-storing</w:t>
      </w:r>
      <w:r>
        <w:rPr/>
        <w:t>] [</w:t>
      </w:r>
      <w:r>
        <w:rPr>
          <w:b/>
        </w:rPr>
        <w:t>removable</w:t>
      </w:r>
      <w:r>
        <w:rPr/>
        <w:t>].</w:t>
      </w:r>
    </w:p>
    <w:p>
      <w:pPr>
        <w:pStyle w:val="PR2"/>
        <w:numPr>
          <w:ilvl w:val="5"/>
          <w:numId w:val="1"/>
        </w:numPr>
        <w:rPr/>
      </w:pPr>
      <w:r>
        <w:rPr/>
        <w:t>Back rails (guards) along rear of units where required by ICC 300.</w:t>
      </w:r>
    </w:p>
    <w:p>
      <w:pPr>
        <w:pStyle w:val="PR2"/>
        <w:numPr>
          <w:ilvl w:val="5"/>
          <w:numId w:val="1"/>
        </w:numPr>
        <w:rPr/>
      </w:pPr>
      <w:r>
        <w:rPr/>
        <w:t>[</w:t>
      </w:r>
      <w:r>
        <w:rPr>
          <w:b/>
        </w:rPr>
        <w:t>Removable</w:t>
      </w:r>
      <w:r>
        <w:rPr/>
        <w:t>] [</w:t>
      </w:r>
      <w:r>
        <w:rPr>
          <w:b/>
        </w:rPr>
        <w:t>Fixed</w:t>
      </w:r>
      <w:r>
        <w:rPr/>
        <w:t>] front rails (guards) along front of units where required by ICC 300.</w:t>
      </w:r>
    </w:p>
    <w:p>
      <w:pPr>
        <w:pStyle w:val="PR2"/>
        <w:numPr>
          <w:ilvl w:val="5"/>
          <w:numId w:val="1"/>
        </w:numPr>
        <w:rPr/>
      </w:pPr>
      <w:r>
        <w:rPr/>
        <w:t>[</w:t>
      </w:r>
      <w:r>
        <w:rPr>
          <w:b/>
        </w:rPr>
        <w:t>Removable</w:t>
      </w:r>
      <w:r>
        <w:rPr/>
        <w:t>] [</w:t>
      </w:r>
      <w:r>
        <w:rPr>
          <w:b/>
        </w:rPr>
        <w:t>Fixed</w:t>
      </w:r>
      <w:r>
        <w:rPr/>
        <w:t>] rails around accessible seating cutouts and truncations.</w:t>
      </w:r>
    </w:p>
    <w:p>
      <w:pPr>
        <w:pStyle w:val="PR2"/>
        <w:numPr>
          <w:ilvl w:val="5"/>
          <w:numId w:val="1"/>
        </w:numPr>
        <w:rPr/>
      </w:pPr>
      <w:r>
        <w:rPr/>
        <w:t>Removable, programming-support front rails to allow seating in upper rows while lower rows remain in the stored position.</w:t>
      </w:r>
    </w:p>
    <w:p>
      <w:pPr>
        <w:pStyle w:val="PR2"/>
        <w:numPr>
          <w:ilvl w:val="5"/>
          <w:numId w:val="1"/>
        </w:numPr>
        <w:rPr/>
      </w:pPr>
      <w:r>
        <w:rPr/>
        <w:t>Color: [</w:t>
      </w:r>
      <w:r>
        <w:rPr>
          <w:b/>
        </w:rPr>
        <w:t>Black</w:t>
      </w:r>
      <w:r>
        <w:rPr/>
        <w:t>] [</w:t>
      </w:r>
      <w:r>
        <w:rPr>
          <w:b/>
        </w:rPr>
        <w:t>Match Architect's sample</w:t>
      </w:r>
      <w:r>
        <w:rPr/>
        <w:t>] [</w:t>
      </w:r>
      <w:r>
        <w:rPr>
          <w:b/>
        </w:rPr>
        <w:t>Manufacturer's standard neutral color</w:t>
      </w:r>
      <w:r>
        <w:rPr/>
        <w:t>] &lt;</w:t>
      </w:r>
      <w:r>
        <w:rPr>
          <w:b/>
        </w:rPr>
        <w:t>Insert color</w:t>
      </w:r>
      <w:r>
        <w:rPr/>
        <w:t>&gt;.</w:t>
      </w:r>
    </w:p>
    <w:p>
      <w:pPr>
        <w:pStyle w:val="PR1"/>
        <w:numPr>
          <w:ilvl w:val="4"/>
          <w:numId w:val="1"/>
        </w:numPr>
        <w:rPr/>
      </w:pPr>
      <w:r>
        <w:rPr/>
        <w:t>Understructure: Structural steel.</w:t>
      </w:r>
    </w:p>
    <w:p>
      <w:pPr>
        <w:pStyle w:val="CMT"/>
        <w:rPr/>
      </w:pPr>
      <w:r>
        <w:rPr/>
        <w:t>First option in "Finish" Subparagraph below varies with manufacturer; consult manufacturers if retaining another option. For high-humidity locations, insert finish to suit Project; consult manufacturers.</w:t>
      </w:r>
    </w:p>
    <w:p>
      <w:pPr>
        <w:pStyle w:val="PR2"/>
        <w:numPr>
          <w:ilvl w:val="5"/>
          <w:numId w:val="1"/>
        </w:numPr>
        <w:spacing w:before="240" w:after="0"/>
        <w:rPr/>
      </w:pPr>
      <w:r>
        <w:rPr/>
        <w:t>Finish: [</w:t>
      </w:r>
      <w:r>
        <w:rPr>
          <w:b/>
        </w:rPr>
        <w:t>Manufacturer's standard</w:t>
      </w:r>
      <w:r>
        <w:rPr/>
        <w:t>] [</w:t>
      </w:r>
      <w:r>
        <w:rPr>
          <w:b/>
        </w:rPr>
        <w:t>Water-based acrylic</w:t>
      </w:r>
      <w:r>
        <w:rPr/>
        <w:t>] [</w:t>
      </w:r>
      <w:r>
        <w:rPr>
          <w:b/>
        </w:rPr>
        <w:t>Alkyd-enamel, two-coat system,</w:t>
      </w:r>
      <w:r>
        <w:rPr/>
        <w:t>] [</w:t>
      </w:r>
      <w:r>
        <w:rPr>
          <w:b/>
        </w:rPr>
        <w:t>Epoxy-resin-based, textured, powder coat system,</w:t>
      </w:r>
      <w:r>
        <w:rPr/>
        <w:t>] &lt;</w:t>
      </w:r>
      <w:r>
        <w:rPr>
          <w:b/>
        </w:rPr>
        <w:t>Insert finish</w:t>
      </w:r>
      <w:r>
        <w:rPr/>
        <w:t>&gt; rust-inhibiting finish.</w:t>
      </w:r>
    </w:p>
    <w:p>
      <w:pPr>
        <w:pStyle w:val="PR2"/>
        <w:numPr>
          <w:ilvl w:val="5"/>
          <w:numId w:val="1"/>
        </w:numPr>
        <w:rPr/>
      </w:pPr>
      <w:r>
        <w:rPr/>
        <w:t>Color: [</w:t>
      </w:r>
      <w:r>
        <w:rPr>
          <w:b/>
        </w:rPr>
        <w:t>Manufacturer's standard</w:t>
      </w:r>
      <w:r>
        <w:rPr/>
        <w:t>] &lt;</w:t>
      </w:r>
      <w:r>
        <w:rPr>
          <w:b/>
        </w:rPr>
        <w:t>Insert color</w:t>
      </w:r>
      <w:r>
        <w:rPr/>
        <w:t>&gt;.</w:t>
      </w:r>
    </w:p>
    <w:p>
      <w:pPr>
        <w:pStyle w:val="PR1"/>
        <w:numPr>
          <w:ilvl w:val="4"/>
          <w:numId w:val="1"/>
        </w:numPr>
        <w:rPr/>
      </w:pPr>
      <w:r>
        <w:rPr/>
        <w:t>Support Column Wheels: Nonmarring, soft, rubber-face wheel assembly under each support column.</w:t>
      </w:r>
    </w:p>
    <w:p>
      <w:pPr>
        <w:pStyle w:val="PR2"/>
        <w:numPr>
          <w:ilvl w:val="5"/>
          <w:numId w:val="1"/>
        </w:numPr>
        <w:spacing w:before="240" w:after="0"/>
        <w:rPr/>
      </w:pPr>
      <w:r>
        <w:rPr/>
        <w:t xml:space="preserve">Include wheels of size, number, and design required to support stands and operate smoothly without damaging the flooring surface, but no fewer than four per column or less than </w:t>
      </w:r>
      <w:r>
        <w:rPr>
          <w:rStyle w:val="IP"/>
        </w:rPr>
        <w:t>4 inches</w:t>
      </w:r>
      <w:r>
        <w:rPr>
          <w:rStyle w:val="SI"/>
        </w:rPr>
        <w:t xml:space="preserve"> (100 mm)</w:t>
      </w:r>
      <w:r>
        <w:rPr/>
        <w:t xml:space="preserve"> in diameter and </w:t>
      </w:r>
      <w:r>
        <w:rPr>
          <w:rStyle w:val="IP"/>
        </w:rPr>
        <w:t>1-1/2 inches</w:t>
      </w:r>
      <w:r>
        <w:rPr>
          <w:rStyle w:val="SI"/>
        </w:rPr>
        <w:t xml:space="preserve"> (38 mm)</w:t>
      </w:r>
      <w:r>
        <w:rPr/>
        <w:t xml:space="preserve"> wide.</w:t>
      </w:r>
    </w:p>
    <w:p>
      <w:pPr>
        <w:pStyle w:val="CMT"/>
        <w:rPr/>
      </w:pPr>
      <w:r>
        <w:rPr/>
        <w:t>Retain "Control Devices" Paragraph below for electrically operated telescoping stands.</w:t>
      </w:r>
    </w:p>
    <w:p>
      <w:pPr>
        <w:pStyle w:val="PR1"/>
        <w:numPr>
          <w:ilvl w:val="4"/>
          <w:numId w:val="1"/>
        </w:numPr>
        <w:rPr/>
      </w:pPr>
      <w:r>
        <w:rPr/>
        <w:t>Control Devices:</w:t>
      </w:r>
    </w:p>
    <w:p>
      <w:pPr>
        <w:pStyle w:val="CMT"/>
        <w:rPr/>
      </w:pPr>
      <w:r>
        <w:rPr/>
        <w:t>Retain one or more of "Wall Attached," "Walk-Along Pendant," and "Wireless" subparagraphs below as applicable. If retaining "Wall Attached" Subparagraph, indicate locations and concealed wiring, if any, on Drawings.</w:t>
      </w:r>
    </w:p>
    <w:p>
      <w:pPr>
        <w:pStyle w:val="PR2"/>
        <w:numPr>
          <w:ilvl w:val="5"/>
          <w:numId w:val="1"/>
        </w:numPr>
        <w:spacing w:before="240" w:after="0"/>
        <w:rPr/>
      </w:pPr>
      <w:r>
        <w:rPr/>
        <w:t>Wall Attached: [</w:t>
      </w:r>
      <w:r>
        <w:rPr>
          <w:b/>
        </w:rPr>
        <w:t>Manufacturer's standard</w:t>
      </w:r>
      <w:r>
        <w:rPr/>
        <w:t>] [</w:t>
      </w:r>
      <w:r>
        <w:rPr>
          <w:b/>
        </w:rPr>
        <w:t>Keyed-switch</w:t>
      </w:r>
      <w:r>
        <w:rPr/>
        <w:t>] control station, located within full view of each stand and its movement area.[</w:t>
      </w:r>
      <w:r>
        <w:rPr>
          <w:b/>
        </w:rPr>
        <w:t> Provide two keys per station.</w:t>
      </w:r>
      <w:r>
        <w:rPr/>
        <w:t>]</w:t>
      </w:r>
    </w:p>
    <w:p>
      <w:pPr>
        <w:pStyle w:val="PR2"/>
        <w:numPr>
          <w:ilvl w:val="5"/>
          <w:numId w:val="1"/>
        </w:numPr>
        <w:rPr/>
      </w:pPr>
      <w:r>
        <w:rPr/>
        <w:t>Walk-Along Pendant: Manufacturer's standard unit, which plugs into first row of each operating section. Provide [</w:t>
      </w:r>
      <w:r>
        <w:rPr>
          <w:b/>
        </w:rPr>
        <w:t>one unit</w:t>
      </w:r>
      <w:r>
        <w:rPr/>
        <w:t>] [</w:t>
      </w:r>
      <w:r>
        <w:rPr>
          <w:b/>
        </w:rPr>
        <w:t>two units</w:t>
      </w:r>
      <w:r>
        <w:rPr/>
        <w:t>] [</w:t>
      </w:r>
      <w:r>
        <w:rPr>
          <w:b/>
        </w:rPr>
        <w:t>three units</w:t>
      </w:r>
      <w:r>
        <w:rPr/>
        <w:t>] [</w:t>
      </w:r>
      <w:r>
        <w:rPr>
          <w:b/>
        </w:rPr>
        <w:t>one unit for each operating section</w:t>
      </w:r>
      <w:r>
        <w:rPr/>
        <w:t>] &lt;</w:t>
      </w:r>
      <w:r>
        <w:rPr>
          <w:b/>
        </w:rPr>
        <w:t>Insert requirement</w:t>
      </w:r>
      <w:r>
        <w:rPr/>
        <w:t>&gt;.</w:t>
      </w:r>
    </w:p>
    <w:p>
      <w:pPr>
        <w:pStyle w:val="PR2"/>
        <w:numPr>
          <w:ilvl w:val="5"/>
          <w:numId w:val="1"/>
        </w:numPr>
        <w:rPr/>
      </w:pPr>
      <w:r>
        <w:rPr/>
        <w:t>Wireless: Hand-held, wireless transmission unit that operates wireless receivers in each operating section, with a transmission range to keep handheld control unit within close proximity and with full view of stand and its movement area. Provide [</w:t>
      </w:r>
      <w:r>
        <w:rPr>
          <w:b/>
        </w:rPr>
        <w:t>one unit</w:t>
      </w:r>
      <w:r>
        <w:rPr/>
        <w:t>] [</w:t>
      </w:r>
      <w:r>
        <w:rPr>
          <w:b/>
        </w:rPr>
        <w:t>two units</w:t>
      </w:r>
      <w:r>
        <w:rPr/>
        <w:t>] [</w:t>
      </w:r>
      <w:r>
        <w:rPr>
          <w:b/>
        </w:rPr>
        <w:t>three units</w:t>
      </w:r>
      <w:r>
        <w:rPr/>
        <w:t>] [</w:t>
      </w:r>
      <w:r>
        <w:rPr>
          <w:b/>
        </w:rPr>
        <w:t>one unit for each operating section</w:t>
      </w:r>
      <w:r>
        <w:rPr/>
        <w:t>] &lt;</w:t>
      </w:r>
      <w:r>
        <w:rPr>
          <w:b/>
        </w:rPr>
        <w:t>Insert requirement</w:t>
      </w:r>
      <w:r>
        <w:rPr/>
        <w:t>&gt;.</w:t>
      </w:r>
    </w:p>
    <w:p>
      <w:pPr>
        <w:pStyle w:val="PR1"/>
        <w:numPr>
          <w:ilvl w:val="4"/>
          <w:numId w:val="1"/>
        </w:numPr>
        <w:rPr/>
      </w:pPr>
      <w:r>
        <w:rPr/>
        <w:t>Fasteners: Vibration proof, in manufacturer's standard size and material.</w:t>
      </w:r>
    </w:p>
    <w:p>
      <w:pPr>
        <w:pStyle w:val="ART"/>
        <w:numPr>
          <w:ilvl w:val="3"/>
          <w:numId w:val="1"/>
        </w:numPr>
        <w:ind w:hanging="0" w:left="0"/>
        <w:rPr/>
      </w:pPr>
      <w:r>
        <w:rPr/>
        <w:t>ACCESSORIES</w:t>
      </w:r>
    </w:p>
    <w:p>
      <w:pPr>
        <w:pStyle w:val="PR1"/>
        <w:numPr>
          <w:ilvl w:val="4"/>
          <w:numId w:val="1"/>
        </w:numPr>
        <w:rPr/>
      </w:pPr>
      <w:r>
        <w:rPr/>
        <w:t>Steps:</w:t>
      </w:r>
    </w:p>
    <w:p>
      <w:pPr>
        <w:pStyle w:val="PR2"/>
        <w:numPr>
          <w:ilvl w:val="5"/>
          <w:numId w:val="1"/>
        </w:numPr>
        <w:spacing w:before="240" w:after="0"/>
        <w:rPr/>
      </w:pPr>
      <w:r>
        <w:rPr/>
        <w:t>Slip-resistant, abrasive tread [</w:t>
      </w:r>
      <w:r>
        <w:rPr>
          <w:b/>
        </w:rPr>
        <w:t>nosings</w:t>
      </w:r>
      <w:r>
        <w:rPr/>
        <w:t>] [</w:t>
      </w:r>
      <w:r>
        <w:rPr>
          <w:b/>
        </w:rPr>
        <w:t>surfaces</w:t>
      </w:r>
      <w:r>
        <w:rPr/>
        <w:t>] at aisles.</w:t>
      </w:r>
    </w:p>
    <w:p>
      <w:pPr>
        <w:pStyle w:val="CMT"/>
        <w:rPr/>
      </w:pPr>
      <w:r>
        <w:rPr/>
        <w:t>Intermediate steps provide an equal depth and height foot surface between rows. They are designed to comply with code requirements.</w:t>
      </w:r>
    </w:p>
    <w:p>
      <w:pPr>
        <w:pStyle w:val="PR2"/>
        <w:numPr>
          <w:ilvl w:val="5"/>
          <w:numId w:val="1"/>
        </w:numPr>
        <w:rPr/>
      </w:pPr>
      <w:r>
        <w:rPr/>
        <w:t>Intermediate aisle steps, fully enclosed, at each aisle.</w:t>
      </w:r>
    </w:p>
    <w:p>
      <w:pPr>
        <w:pStyle w:val="PR2"/>
        <w:numPr>
          <w:ilvl w:val="5"/>
          <w:numId w:val="1"/>
        </w:numPr>
        <w:rPr/>
      </w:pPr>
      <w:r>
        <w:rPr/>
        <w:t>Transitional top step, fully enclosed, at each aisle where last row of telescoping stands is adjacent to a cross aisle.</w:t>
      </w:r>
    </w:p>
    <w:p>
      <w:pPr>
        <w:pStyle w:val="PR2"/>
        <w:numPr>
          <w:ilvl w:val="5"/>
          <w:numId w:val="1"/>
        </w:numPr>
        <w:rPr/>
      </w:pPr>
      <w:r>
        <w:rPr/>
        <w:t>Removable front steps, fully enclosed, at each aisle, that engage with front row to prevent accidental separation or movement and are equipped with a minimum of four skid-resistant feet.</w:t>
      </w:r>
    </w:p>
    <w:p>
      <w:pPr>
        <w:pStyle w:val="CMT"/>
        <w:rPr/>
      </w:pPr>
      <w:r>
        <w:rPr/>
        <w:t>Portable stairs may be required for access to upper rows if aisles occur in truncation locations.</w:t>
      </w:r>
    </w:p>
    <w:p>
      <w:pPr>
        <w:pStyle w:val="PR1"/>
        <w:numPr>
          <w:ilvl w:val="4"/>
          <w:numId w:val="1"/>
        </w:numPr>
        <w:rPr/>
      </w:pPr>
      <w:r>
        <w:rPr/>
        <w:t>Portable Stairs: Portable access-stair units equipped with handrails, with no fewer than four full-swiveling, nonmarring wheels and a locking mechanism to prevent movement during use.</w:t>
      </w:r>
    </w:p>
    <w:p>
      <w:pPr>
        <w:pStyle w:val="PR1"/>
        <w:numPr>
          <w:ilvl w:val="4"/>
          <w:numId w:val="1"/>
        </w:numPr>
        <w:rPr/>
      </w:pPr>
      <w:r>
        <w:rPr/>
        <w:t>Ramps: Portable access-ramp units, slope [</w:t>
      </w:r>
      <w:r>
        <w:rPr>
          <w:b/>
        </w:rPr>
        <w:t>as indicated on Drawings</w:t>
      </w:r>
      <w:r>
        <w:rPr/>
        <w:t>] [</w:t>
      </w:r>
      <w:r>
        <w:rPr>
          <w:b/>
        </w:rPr>
        <w:t>to comply with requirements of accessibility standard</w:t>
      </w:r>
      <w:r>
        <w:rPr/>
        <w:t>], equipped with handrails, with no fewer than four full-swiveling, nonmarring wheels and a locking mechanism to prevent movement during use.</w:t>
      </w:r>
    </w:p>
    <w:p>
      <w:pPr>
        <w:pStyle w:val="PR1"/>
        <w:numPr>
          <w:ilvl w:val="4"/>
          <w:numId w:val="1"/>
        </w:numPr>
        <w:rPr/>
      </w:pPr>
      <w:r>
        <w:rPr/>
        <w:t>Closure Panels and Void Fillers:</w:t>
      </w:r>
    </w:p>
    <w:p>
      <w:pPr>
        <w:pStyle w:val="CMT"/>
        <w:rPr/>
      </w:pPr>
      <w:r>
        <w:rPr/>
        <w:t>Retain first subparagraph below for safety and appearance.</w:t>
      </w:r>
    </w:p>
    <w:p>
      <w:pPr>
        <w:pStyle w:val="PR2"/>
        <w:numPr>
          <w:ilvl w:val="5"/>
          <w:numId w:val="1"/>
        </w:numPr>
        <w:spacing w:before="240" w:after="0"/>
        <w:rPr/>
      </w:pPr>
      <w:r>
        <w:rPr/>
        <w:t>Aisle closures at foot level that produce flush vertical face at aisles when system is stored.</w:t>
      </w:r>
    </w:p>
    <w:p>
      <w:pPr>
        <w:pStyle w:val="CMT"/>
        <w:rPr/>
      </w:pPr>
      <w:r>
        <w:rPr/>
        <w:t>End panels are designed to deter access behind units in the stored position.</w:t>
      </w:r>
    </w:p>
    <w:p>
      <w:pPr>
        <w:pStyle w:val="PR2"/>
        <w:numPr>
          <w:ilvl w:val="5"/>
          <w:numId w:val="1"/>
        </w:numPr>
        <w:rPr/>
      </w:pPr>
      <w:r>
        <w:rPr/>
        <w:t>End panels covering exposed ends of stands in the stored position.</w:t>
      </w:r>
    </w:p>
    <w:p>
      <w:pPr>
        <w:pStyle w:val="CMT"/>
        <w:rPr/>
      </w:pPr>
      <w:r>
        <w:rPr/>
        <w:t>Back panels are designed to deter access behind back exposed units.</w:t>
      </w:r>
    </w:p>
    <w:p>
      <w:pPr>
        <w:pStyle w:val="PR2"/>
        <w:numPr>
          <w:ilvl w:val="5"/>
          <w:numId w:val="1"/>
        </w:numPr>
        <w:rPr/>
      </w:pPr>
      <w:r>
        <w:rPr/>
        <w:t>Back panels covering rear of freestanding units. Panels extend full height and width of unit.</w:t>
      </w:r>
    </w:p>
    <w:p>
      <w:pPr>
        <w:pStyle w:val="PR2"/>
        <w:numPr>
          <w:ilvl w:val="5"/>
          <w:numId w:val="1"/>
        </w:numPr>
        <w:rPr/>
      </w:pPr>
      <w:r>
        <w:rPr/>
        <w:t>Panels at cutouts and truncations for accessible seating.</w:t>
      </w:r>
    </w:p>
    <w:p>
      <w:pPr>
        <w:pStyle w:val="PR2"/>
        <w:numPr>
          <w:ilvl w:val="5"/>
          <w:numId w:val="1"/>
        </w:numPr>
        <w:rPr/>
      </w:pPr>
      <w:r>
        <w:rPr/>
        <w:t>Rear fillers including supports for closing openings between top row and rear wall of adjoining construction.</w:t>
      </w:r>
    </w:p>
    <w:p>
      <w:pPr>
        <w:pStyle w:val="PR2"/>
        <w:numPr>
          <w:ilvl w:val="5"/>
          <w:numId w:val="1"/>
        </w:numPr>
        <w:rPr/>
      </w:pPr>
      <w:r>
        <w:rPr/>
        <w:t>Gap fillers for closing openings between stand units or between stand units and adjoining construction.</w:t>
      </w:r>
    </w:p>
    <w:p>
      <w:pPr>
        <w:pStyle w:val="CMT"/>
        <w:rPr/>
      </w:pPr>
      <w:r>
        <w:rPr/>
        <w:t>Verify, with manufacturers, requirements and availability of spanner seats.</w:t>
      </w:r>
    </w:p>
    <w:p>
      <w:pPr>
        <w:pStyle w:val="PR1"/>
        <w:numPr>
          <w:ilvl w:val="4"/>
          <w:numId w:val="1"/>
        </w:numPr>
        <w:rPr/>
      </w:pPr>
      <w:r>
        <w:rPr/>
        <w:t>Spanner Seats: Removable, designed to span area between adjacent stand units[</w:t>
      </w:r>
      <w:r>
        <w:rPr>
          <w:b/>
        </w:rPr>
        <w:t>, in locations indicated on Drawings</w:t>
      </w:r>
      <w:r>
        <w:rPr/>
        <w:t>] &lt;</w:t>
      </w:r>
      <w:r>
        <w:rPr>
          <w:b/>
        </w:rPr>
        <w:t>Insert requirements</w:t>
      </w:r>
      <w:r>
        <w:rPr/>
        <w:t>&gt;.</w:t>
      </w:r>
    </w:p>
    <w:p>
      <w:pPr>
        <w:pStyle w:val="PR1"/>
        <w:numPr>
          <w:ilvl w:val="4"/>
          <w:numId w:val="1"/>
        </w:numPr>
        <w:rPr/>
      </w:pPr>
      <w:r>
        <w:rPr/>
        <w:t>Signage:</w:t>
      </w:r>
    </w:p>
    <w:p>
      <w:pPr>
        <w:pStyle w:val="PR2"/>
        <w:numPr>
          <w:ilvl w:val="5"/>
          <w:numId w:val="1"/>
        </w:numPr>
        <w:spacing w:before="240" w:after="0"/>
        <w:rPr/>
      </w:pPr>
      <w:r>
        <w:rPr/>
        <w:t>Row letters at each row end.</w:t>
      </w:r>
    </w:p>
    <w:p>
      <w:pPr>
        <w:pStyle w:val="PR2"/>
        <w:numPr>
          <w:ilvl w:val="5"/>
          <w:numId w:val="1"/>
        </w:numPr>
        <w:rPr/>
      </w:pPr>
      <w:r>
        <w:rPr/>
        <w:t>Seat numbers [</w:t>
      </w:r>
      <w:r>
        <w:rPr>
          <w:b/>
        </w:rPr>
        <w:t xml:space="preserve">at </w:t>
      </w:r>
      <w:r>
        <w:rPr>
          <w:rStyle w:val="IP"/>
          <w:b/>
        </w:rPr>
        <w:t>18 inches</w:t>
      </w:r>
      <w:r>
        <w:rPr>
          <w:rStyle w:val="SI"/>
          <w:b/>
        </w:rPr>
        <w:t xml:space="preserve"> (457 mm)</w:t>
      </w:r>
      <w:r>
        <w:rPr>
          <w:b/>
        </w:rPr>
        <w:t xml:space="preserve"> o.c. on benches</w:t>
      </w:r>
      <w:r>
        <w:rPr/>
        <w:t>] [</w:t>
      </w:r>
      <w:r>
        <w:rPr>
          <w:b/>
        </w:rPr>
        <w:t>and</w:t>
      </w:r>
      <w:r>
        <w:rPr/>
        <w:t>] [</w:t>
      </w:r>
      <w:r>
        <w:rPr>
          <w:b/>
        </w:rPr>
        <w:t>on each chair</w:t>
      </w:r>
      <w:r>
        <w:rPr/>
        <w:t>].</w:t>
      </w:r>
    </w:p>
    <w:p>
      <w:pPr>
        <w:pStyle w:val="PR2"/>
        <w:numPr>
          <w:ilvl w:val="5"/>
          <w:numId w:val="1"/>
        </w:numPr>
        <w:rPr/>
      </w:pPr>
      <w:r>
        <w:rPr/>
        <w:t>Accessibility signs at each accessible space[</w:t>
      </w:r>
      <w:r>
        <w:rPr>
          <w:b/>
        </w:rPr>
        <w:t> and accessible aisle seat</w:t>
      </w:r>
      <w:r>
        <w:rPr/>
        <w:t>].</w:t>
      </w:r>
    </w:p>
    <w:p>
      <w:pPr>
        <w:pStyle w:val="PR2"/>
        <w:numPr>
          <w:ilvl w:val="5"/>
          <w:numId w:val="1"/>
        </w:numPr>
        <w:rPr/>
      </w:pPr>
      <w:r>
        <w:rPr/>
        <w:t>Custom graphics as indicated on Drawings [</w:t>
      </w:r>
      <w:r>
        <w:rPr>
          <w:b/>
        </w:rPr>
        <w:t>on benches</w:t>
      </w:r>
      <w:r>
        <w:rPr/>
        <w:t>] [</w:t>
      </w:r>
      <w:r>
        <w:rPr>
          <w:b/>
        </w:rPr>
        <w:t>on end panels</w:t>
      </w:r>
      <w:r>
        <w:rPr/>
        <w:t>] [</w:t>
      </w:r>
      <w:r>
        <w:rPr>
          <w:b/>
        </w:rPr>
        <w:t>on rear panels</w:t>
      </w:r>
      <w:r>
        <w:rPr/>
        <w:t>] [</w:t>
      </w:r>
      <w:r>
        <w:rPr>
          <w:b/>
        </w:rPr>
        <w:t>on whole seating array</w:t>
      </w:r>
      <w:r>
        <w:rPr/>
        <w:t>] &lt;</w:t>
      </w:r>
      <w:r>
        <w:rPr>
          <w:b/>
        </w:rPr>
        <w:t>Insert requirements</w:t>
      </w:r>
      <w:r>
        <w:rPr/>
        <w:t>&gt;.</w:t>
      </w:r>
    </w:p>
    <w:p>
      <w:pPr>
        <w:pStyle w:val="PR1"/>
        <w:numPr>
          <w:ilvl w:val="4"/>
          <w:numId w:val="1"/>
        </w:numPr>
        <w:rPr/>
      </w:pPr>
      <w:r>
        <w:rPr/>
        <w:t>Scorer's Table: Removable unit that attaches to mounting sockets installed in telescoping stand unit.</w:t>
      </w:r>
    </w:p>
    <w:p>
      <w:pPr>
        <w:pStyle w:val="CMT"/>
        <w:rPr/>
      </w:pPr>
      <w:r>
        <w:rPr/>
        <w:t>Insert other accessories to suit Project.</w:t>
      </w:r>
    </w:p>
    <w:p>
      <w:pPr>
        <w:pStyle w:val="ART"/>
        <w:numPr>
          <w:ilvl w:val="3"/>
          <w:numId w:val="1"/>
        </w:numPr>
        <w:ind w:hanging="0" w:left="0"/>
        <w:rPr/>
      </w:pPr>
      <w:r>
        <w:rPr/>
        <w:t>MATERIALS</w:t>
      </w:r>
    </w:p>
    <w:p>
      <w:pPr>
        <w:pStyle w:val="PR1"/>
        <w:numPr>
          <w:ilvl w:val="4"/>
          <w:numId w:val="1"/>
        </w:numPr>
        <w:rPr/>
      </w:pPr>
      <w:hyperlink r:id="rId13">
        <w:r>
          <w:rPr>
            <w:rStyle w:val="Hyperlink"/>
          </w:rPr>
          <w:t>&lt;Double click to insert sustainable design text for recycled content.&gt;</w:t>
        </w:r>
      </w:hyperlink>
    </w:p>
    <w:p>
      <w:pPr>
        <w:pStyle w:val="PR1"/>
        <w:numPr>
          <w:ilvl w:val="4"/>
          <w:numId w:val="1"/>
        </w:numPr>
        <w:rPr/>
      </w:pPr>
      <w:hyperlink r:id="rId14">
        <w:r>
          <w:rPr>
            <w:rStyle w:val="Hyperlink"/>
          </w:rPr>
          <w:t>&lt;Double click to insert sustainable design text for certified wood.&gt;</w:t>
        </w:r>
      </w:hyperlink>
    </w:p>
    <w:p>
      <w:pPr>
        <w:pStyle w:val="PR1"/>
        <w:numPr>
          <w:ilvl w:val="4"/>
          <w:numId w:val="1"/>
        </w:numPr>
        <w:rPr/>
      </w:pPr>
      <w:hyperlink r:id="rId15">
        <w:r>
          <w:rPr>
            <w:rStyle w:val="Hyperlink"/>
          </w:rPr>
          <w:t>&lt;Double click to insert sustainable design text for composite wood products.&gt;</w:t>
        </w:r>
      </w:hyperlink>
    </w:p>
    <w:p>
      <w:pPr>
        <w:pStyle w:val="CMT"/>
        <w:rPr/>
      </w:pPr>
      <w:r>
        <w:rPr/>
        <w:t>Retain "Lumber" Paragraph below for solid wood benches or backrests; revise to suit Project.</w:t>
      </w:r>
    </w:p>
    <w:p>
      <w:pPr>
        <w:pStyle w:val="PR1"/>
        <w:numPr>
          <w:ilvl w:val="4"/>
          <w:numId w:val="1"/>
        </w:numPr>
        <w:rPr/>
      </w:pPr>
      <w:r>
        <w:rPr/>
        <w:t>Lumber: Kiln dried, surfaced four sides; southern pine complying with SPIB's "Standard Grading Rules for Southern Pine Lumber" for [</w:t>
      </w:r>
      <w:r>
        <w:rPr>
          <w:b/>
        </w:rPr>
        <w:t>B &amp; B finish (B and better)</w:t>
      </w:r>
      <w:r>
        <w:rPr/>
        <w:t>] [</w:t>
      </w:r>
      <w:r>
        <w:rPr>
          <w:b/>
        </w:rPr>
        <w:t>C &amp; Btr finish (C and better)</w:t>
      </w:r>
      <w:r>
        <w:rPr/>
        <w:t>] grade-of-finish requirements.</w:t>
      </w:r>
    </w:p>
    <w:p>
      <w:pPr>
        <w:pStyle w:val="PR1"/>
        <w:numPr>
          <w:ilvl w:val="4"/>
          <w:numId w:val="1"/>
        </w:numPr>
        <w:rPr/>
      </w:pPr>
      <w:r>
        <w:rPr/>
        <w:t>Plywood: PS 1 as standard with manufacturer.</w:t>
      </w:r>
    </w:p>
    <w:p>
      <w:pPr>
        <w:pStyle w:val="CMT"/>
        <w:rPr/>
      </w:pPr>
      <w:r>
        <w:rPr/>
        <w:t>Retain "Molded Plastic" Paragraph below for plastic seats.</w:t>
      </w:r>
    </w:p>
    <w:p>
      <w:pPr>
        <w:pStyle w:val="PR1"/>
        <w:numPr>
          <w:ilvl w:val="4"/>
          <w:numId w:val="1"/>
        </w:numPr>
        <w:rPr/>
      </w:pPr>
      <w:r>
        <w:rPr/>
        <w:t>Molded Plastic: High-density polyethylene; blow or injection molded, color-pigmented, textured, impact-resistant, with integral reinforcing ribs for attachment and anchoring points. Provide with UV inhibitors to retard fading.</w:t>
      </w:r>
    </w:p>
    <w:p>
      <w:pPr>
        <w:pStyle w:val="ART"/>
        <w:numPr>
          <w:ilvl w:val="3"/>
          <w:numId w:val="1"/>
        </w:numPr>
        <w:ind w:hanging="0" w:left="0"/>
        <w:rPr/>
      </w:pPr>
      <w:r>
        <w:rPr/>
        <w:t>FABRICATION</w:t>
      </w:r>
    </w:p>
    <w:p>
      <w:pPr>
        <w:pStyle w:val="PR1"/>
        <w:numPr>
          <w:ilvl w:val="4"/>
          <w:numId w:val="1"/>
        </w:numPr>
        <w:rPr/>
      </w:pPr>
      <w:r>
        <w:rPr/>
        <w:t>Fabricate telescoping stands to operate easily without special tools or separate fasteners unless otherwise indicated.</w:t>
      </w:r>
    </w:p>
    <w:p>
      <w:pPr>
        <w:pStyle w:val="PR1"/>
        <w:numPr>
          <w:ilvl w:val="4"/>
          <w:numId w:val="1"/>
        </w:numPr>
        <w:rPr/>
      </w:pPr>
      <w:r>
        <w:rPr/>
        <w:t>Round corners and edges of components and exposed fasteners to reduce snagging and pinching hazards.</w:t>
      </w:r>
    </w:p>
    <w:p>
      <w:pPr>
        <w:pStyle w:val="PR1"/>
        <w:numPr>
          <w:ilvl w:val="4"/>
          <w:numId w:val="1"/>
        </w:numPr>
        <w:rPr/>
      </w:pPr>
      <w:r>
        <w:rPr/>
        <w:t>Form exposed work with flat, flush surfaces, level and true in line.</w:t>
      </w:r>
    </w:p>
    <w:p>
      <w:pPr>
        <w:pStyle w:val="PR1"/>
        <w:numPr>
          <w:ilvl w:val="4"/>
          <w:numId w:val="1"/>
        </w:numPr>
        <w:rPr/>
      </w:pPr>
      <w:r>
        <w:rPr/>
        <w:t>Supports: Fabricate supports to withstand, without damage to components, the forces imposed by use of stands without failure or other conditions that might impair their usefulness.</w:t>
      </w:r>
    </w:p>
    <w:p>
      <w:pPr>
        <w:pStyle w:val="CMT"/>
        <w:rPr/>
      </w:pPr>
      <w:r>
        <w:rPr/>
        <w:t>Retain subparagraph below for benches.</w:t>
      </w:r>
    </w:p>
    <w:p>
      <w:pPr>
        <w:pStyle w:val="PR2"/>
        <w:numPr>
          <w:ilvl w:val="5"/>
          <w:numId w:val="1"/>
        </w:numPr>
        <w:spacing w:before="240" w:after="0"/>
        <w:rPr/>
      </w:pPr>
      <w:r>
        <w:rPr/>
        <w:t>Cantilever bench seat supports to produce toe space uninterrupted by vertical bracing.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telescoping stands according to ICC 300 and manufacturer's written instructions.</w:t>
      </w:r>
    </w:p>
    <w:p>
      <w:pPr>
        <w:pStyle w:val="ART"/>
        <w:numPr>
          <w:ilvl w:val="3"/>
          <w:numId w:val="1"/>
        </w:numPr>
        <w:ind w:hanging="0" w:left="0"/>
        <w:rPr/>
      </w:pPr>
      <w:r>
        <w:rPr/>
        <w:t>FIELD QUALITY CONTROL</w:t>
      </w:r>
    </w:p>
    <w:p>
      <w:pPr>
        <w:pStyle w:val="CMT"/>
        <w:rPr/>
      </w:pPr>
      <w:r>
        <w:rPr/>
        <w:t>Retain "Testing Agency" and "Perform the following tests and inspections" paragraphs below to identify who performs tests and inspections. If retaining second option in "Testing Agency" Paragraph or if retaining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ICC 300 Inspection: Inspect installed telescoping stands to verify that construction, installation, and operation are according to ICC 300 requirements.</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Telescoping stands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backrests so that they are at proper angles and aligned with each other in uniform rows.</w:t>
      </w:r>
    </w:p>
    <w:p>
      <w:pPr>
        <w:pStyle w:val="PR1"/>
        <w:numPr>
          <w:ilvl w:val="4"/>
          <w:numId w:val="1"/>
        </w:numPr>
        <w:rPr/>
      </w:pPr>
      <w:r>
        <w:rPr/>
        <w:t>Adjust hardware and moving parts to function smoothly, and lubricate, test, and adjust each telescoping stand unit to operate according to manufacturer's written instructions.</w:t>
      </w:r>
    </w:p>
    <w:p>
      <w:pPr>
        <w:pStyle w:val="PR1"/>
        <w:numPr>
          <w:ilvl w:val="4"/>
          <w:numId w:val="1"/>
        </w:numPr>
        <w:rPr/>
      </w:pPr>
      <w:r>
        <w:rPr/>
        <w:t>Clean installed telescoping stands on exposed and semiexposed surfaces. Touch up factory-applied finishes or replace components as required to restore damaged or soiled areas.</w:t>
      </w:r>
    </w:p>
    <w:p>
      <w:pPr>
        <w:pStyle w:val="CMT"/>
        <w:rPr/>
      </w:pPr>
      <w:r>
        <w:rPr/>
        <w:t>Retain paragraph below for upholstered seating.</w:t>
      </w:r>
    </w:p>
    <w:p>
      <w:pPr>
        <w:pStyle w:val="PR1"/>
        <w:numPr>
          <w:ilvl w:val="4"/>
          <w:numId w:val="1"/>
        </w:numPr>
        <w:rPr/>
      </w:pPr>
      <w:r>
        <w:rPr/>
        <w:t>Replace upholstery fabric damaged during installation or work of other trades.</w:t>
      </w:r>
    </w:p>
    <w:p>
      <w:pPr>
        <w:pStyle w:val="ART"/>
        <w:numPr>
          <w:ilvl w:val="3"/>
          <w:numId w:val="1"/>
        </w:numPr>
        <w:ind w:hanging="0" w:left="0"/>
        <w:rPr/>
      </w:pPr>
      <w:r>
        <w:rPr/>
        <w:t>DEMONSTRATION</w:t>
      </w:r>
    </w:p>
    <w:p>
      <w:pPr>
        <w:pStyle w:val="CMT"/>
        <w:rPr/>
      </w:pPr>
      <w:r>
        <w:rPr/>
        <w:t>Revise paragraph below to suit Project. ICC 300 requires the Owner to maintain telescoping stands and have annual inspections performed by a qualified person.</w:t>
      </w:r>
    </w:p>
    <w:p>
      <w:pPr>
        <w:pStyle w:val="PR1"/>
        <w:numPr>
          <w:ilvl w:val="4"/>
          <w:numId w:val="1"/>
        </w:numPr>
        <w:rPr/>
      </w:pPr>
      <w:r>
        <w:rPr/>
        <w:t>Engage a factory-authorized service representative to train Owner's maintenance personnel to inspect, adjust, operate, and maintain telescoping stands.</w:t>
      </w:r>
    </w:p>
    <w:p>
      <w:pPr>
        <w:pStyle w:val="EOS"/>
        <w:rPr/>
      </w:pPr>
      <w:r>
        <w:rPr/>
        <w:t>END OF SECTION 126600</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TELESCOPING STANDS</w:t>
          </w:r>
        </w:p>
      </w:tc>
      <w:tc>
        <w:tcPr>
          <w:tcW w:w="1872" w:type="dxa"/>
          <w:tcBorders/>
        </w:tcPr>
        <w:p>
          <w:pPr>
            <w:pStyle w:val="RJUST"/>
            <w:rPr/>
          </w:pPr>
          <w:r>
            <w:rPr>
              <w:rStyle w:val="NUM"/>
            </w:rPr>
            <w:t>126600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26600"/>
    <w:docVar w:name="MF95" w:val="12660"/>
    <w:docVar w:name="MFOrigin" w:val="MF04"/>
    <w:docVar w:name="SectionID" w:val="376"/>
    <w:docVar w:name="SpecType" w:val="MasterSpec"/>
    <w:docVar w:name="Version" w:val="161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6600&amp;ver=06-01-21&amp;format=FL&amp;sid=1615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specagent.com/LookUp/?ulid=5447&amp;mf=&amp;src=wd" TargetMode="External"/><Relationship Id="rId10" Type="http://schemas.openxmlformats.org/officeDocument/2006/relationships/hyperlink" Target="http://www.specagent.com/LookUp/?ulid=5448&amp;mf=&amp;src=wd" TargetMode="External"/><Relationship Id="rId11" Type="http://schemas.openxmlformats.org/officeDocument/2006/relationships/hyperlink" Target="http://www.specagent.com/LookUp/?ulid=5449&amp;mf=&amp;src=wd" TargetMode="External"/><Relationship Id="rId12" Type="http://schemas.openxmlformats.org/officeDocument/2006/relationships/hyperlink" Target="http://www.specagent.com/LookUp/?ulid=5450&amp;mf=&amp;src=wd" TargetMode="External"/><Relationship Id="rId13" Type="http://schemas.openxmlformats.org/officeDocument/2006/relationships/hyperlink" Target="http://www.arcomnet.com/sustainable_design.aspx?topic=31" TargetMode="External"/><Relationship Id="rId14" Type="http://schemas.openxmlformats.org/officeDocument/2006/relationships/hyperlink" Target="http://www.arcomnet.com/sustainable_design.aspx?topic=133" TargetMode="External"/><Relationship Id="rId15" Type="http://schemas.openxmlformats.org/officeDocument/2006/relationships/hyperlink" Target="http://www.arcomnet.com/sustainable_design.aspx?topic=63"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TELESCOPING STANDS</dc:subject>
  <dc:title>SECTION 126600 - TELESCOPING STANDS</dc:title>
</cp:coreProperties>
</file>