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143200</w:t>
      </w:r>
      <w:r>
        <w:rPr/>
        <w:t xml:space="preserve"> - </w:t>
      </w:r>
      <w:r>
        <w:rPr>
          <w:rStyle w:val="NAM"/>
        </w:rPr>
        <w:t>MOVING WALKS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t>
      </w:r>
      <w:r>
        <w:rPr>
          <w:b/>
        </w:rPr>
        <w:t>interior</w:t>
      </w:r>
      <w:r>
        <w:rPr/>
        <w:t>] [</w:t>
      </w:r>
      <w:r>
        <w:rPr>
          <w:b/>
        </w:rPr>
        <w:t>and</w:t>
      </w:r>
      <w:r>
        <w:rPr/>
        <w:t>] [</w:t>
      </w:r>
      <w:r>
        <w:rPr>
          <w:b/>
        </w:rPr>
        <w:t>exterior</w:t>
      </w:r>
      <w:r>
        <w:rPr/>
        <w:t>] moving walks.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033000 "Cast-in-Place Concrete" for setting sleeves, inserts, and anchoring devices in concrete.</w:t>
      </w:r>
    </w:p>
    <w:p>
      <w:pPr>
        <w:pStyle w:val="PR2"/>
        <w:numPr>
          <w:ilvl w:val="5"/>
          <w:numId w:val="1"/>
        </w:numPr>
        <w:ind w:hanging="0" w:left="0"/>
        <w:rPr/>
      </w:pPr>
      <w:r>
        <w:rPr/>
        <w:t>Section 051200 "Structural Steel Framing" for attachment plates, angle brackets, and other preparation of structural steel to support moving walks.</w:t>
      </w:r>
    </w:p>
    <w:p>
      <w:pPr>
        <w:pStyle w:val="PR2"/>
        <w:numPr>
          <w:ilvl w:val="5"/>
          <w:numId w:val="1"/>
        </w:numPr>
        <w:ind w:hanging="0" w:left="0"/>
        <w:rPr/>
      </w:pPr>
      <w:r>
        <w:rPr/>
        <w:t>Section 083113 "Access Doors and Frames" for wall and ceiling access panels and access doors in moving walk enclosures.</w:t>
      </w:r>
    </w:p>
    <w:p>
      <w:pPr>
        <w:pStyle w:val="CMT"/>
        <w:rPr/>
      </w:pPr>
      <w:r>
        <w:rPr/>
        <w:t>Usually delete first subparagraph below, making "Caution" signs work of this Section for undivided responsibility of moving walk work. Retaining subparagraph and specifying "Caution" signs in the sign Section allow some aesthetic and material quality control over signs.</w:t>
      </w:r>
    </w:p>
    <w:p>
      <w:pPr>
        <w:pStyle w:val="PR2"/>
        <w:numPr>
          <w:ilvl w:val="5"/>
          <w:numId w:val="1"/>
        </w:numPr>
        <w:ind w:hanging="0" w:left="0"/>
        <w:rPr/>
      </w:pPr>
      <w:r>
        <w:rPr/>
        <w:t>Section 101423 "Panel Signage" for "Caution" signs required by ASME A17.1/CSA B44.</w:t>
      </w:r>
    </w:p>
    <w:p>
      <w:pPr>
        <w:pStyle w:val="CMT"/>
        <w:rPr/>
      </w:pPr>
      <w:r>
        <w:rPr/>
        <w:t>Subparagraph below allows power to be disconnected from motor before fire sprinkler activation.</w:t>
      </w:r>
    </w:p>
    <w:p>
      <w:pPr>
        <w:pStyle w:val="PR2"/>
        <w:numPr>
          <w:ilvl w:val="5"/>
          <w:numId w:val="1"/>
        </w:numPr>
        <w:ind w:hanging="0" w:left="0"/>
        <w:rPr/>
      </w:pPr>
      <w:r>
        <w:rPr/>
        <w:t>[</w:t>
      </w:r>
      <w:r>
        <w:rPr>
          <w:b/>
        </w:rPr>
        <w:t>Section 284621.11 "Addressable Fire-Alarm Systems"</w:t>
      </w:r>
      <w:r>
        <w:rPr/>
        <w:t>] [</w:t>
      </w:r>
      <w:r>
        <w:rPr>
          <w:b/>
        </w:rPr>
        <w:t>Section 284621.13 "Conventional Fire-Alarm Systems"</w:t>
      </w:r>
      <w:r>
        <w:rPr/>
        <w:t>] for smoke detectors that activate alarm and, after at least 15 seconds, cause power interruption to the moving walk.</w:t>
      </w:r>
    </w:p>
    <w:p>
      <w:pPr>
        <w:pStyle w:val="ART"/>
        <w:numPr>
          <w:ilvl w:val="3"/>
          <w:numId w:val="1"/>
        </w:numPr>
        <w:ind w:hanging="0" w:left="0"/>
        <w:rPr/>
      </w:pPr>
      <w:r>
        <w:rPr/>
        <w:t>ACTION SUBMITTALS</w:t>
      </w:r>
    </w:p>
    <w:p>
      <w:pPr>
        <w:pStyle w:val="CMT"/>
        <w:rPr/>
      </w:pPr>
      <w:r>
        <w:rPr/>
        <w:t>Usually delete "Product Data" Paragraph below and review catalog information before revising this Section.</w:t>
      </w:r>
    </w:p>
    <w:p>
      <w:pPr>
        <w:pStyle w:val="PR1"/>
        <w:numPr>
          <w:ilvl w:val="4"/>
          <w:numId w:val="1"/>
        </w:numPr>
        <w:ind w:hanging="0" w:left="0"/>
        <w:rPr/>
      </w:pPr>
      <w:r>
        <w:rPr/>
        <w:t>Product Data: Include capacities, sizes, performances, safety features, finishes, and similar information.</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 indicating coordination with building structure and relationships with other construction.</w:t>
      </w:r>
    </w:p>
    <w:p>
      <w:pPr>
        <w:pStyle w:val="PR2"/>
        <w:numPr>
          <w:ilvl w:val="5"/>
          <w:numId w:val="1"/>
        </w:numPr>
        <w:ind w:hanging="0" w:left="0"/>
        <w:rPr/>
      </w:pPr>
      <w:r>
        <w:rPr/>
        <w:t>Indicate maximum loads imposed on building structure at points of support, and power requirements.</w:t>
      </w:r>
    </w:p>
    <w:p>
      <w:pPr>
        <w:pStyle w:val="PR2"/>
        <w:numPr>
          <w:ilvl w:val="5"/>
          <w:numId w:val="1"/>
        </w:numPr>
        <w:ind w:hanging="0" w:left="0"/>
        <w:rPr/>
      </w:pPr>
      <w:r>
        <w:rPr/>
        <w:t>Indicate access and ventilation for moving walk machine space.</w:t>
      </w:r>
    </w:p>
    <w:p>
      <w:pPr>
        <w:pStyle w:val="PR1"/>
        <w:numPr>
          <w:ilvl w:val="4"/>
          <w:numId w:val="1"/>
        </w:numPr>
        <w:ind w:hanging="0" w:left="0"/>
        <w:rPr/>
      </w:pPr>
      <w:r>
        <w:rPr/>
        <w:t xml:space="preserve">Samples for Verification: For exposed finishes, </w:t>
      </w:r>
      <w:r>
        <w:rPr>
          <w:rStyle w:val="IP"/>
        </w:rPr>
        <w:t>3-inch-</w:t>
      </w:r>
      <w:r>
        <w:rPr>
          <w:rStyle w:val="SI"/>
        </w:rPr>
        <w:t xml:space="preserve"> (75-mm-)</w:t>
      </w:r>
      <w:r>
        <w:rPr/>
        <w:t xml:space="preserve"> square Samples of sheet materials and </w:t>
      </w:r>
      <w:r>
        <w:rPr>
          <w:rStyle w:val="IP"/>
        </w:rPr>
        <w:t>4-inch</w:t>
      </w:r>
      <w:r>
        <w:rPr>
          <w:rStyle w:val="SI"/>
        </w:rPr>
        <w:t xml:space="preserve"> (100-mm)</w:t>
      </w:r>
      <w:r>
        <w:rPr/>
        <w:t xml:space="preserve"> lengths of running trim members.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PR1"/>
        <w:numPr>
          <w:ilvl w:val="4"/>
          <w:numId w:val="1"/>
        </w:numPr>
        <w:ind w:hanging="0" w:left="0"/>
        <w:rPr/>
      </w:pPr>
      <w:r>
        <w:rPr/>
        <w:t>Manufacturer Certificates: Signed by manufacturer certifying that moving walk layout and dimensions, as indicated on Drawings, and electrical service, as shown and specified, are adequate for moving walks being provided.</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moving walks to include in emergency, operation, and maintenance manuals.</w:t>
      </w:r>
    </w:p>
    <w:p>
      <w:pPr>
        <w:pStyle w:val="CMT"/>
        <w:rPr/>
      </w:pPr>
      <w:r>
        <w:rPr/>
        <w:t>Usually delete subparagraph below for projects where Owner's staff does not maintain moving walks; retaining below increases cost of moving walks.</w:t>
      </w:r>
    </w:p>
    <w:p>
      <w:pPr>
        <w:pStyle w:val="PR2"/>
        <w:numPr>
          <w:ilvl w:val="5"/>
          <w:numId w:val="1"/>
        </w:numPr>
        <w:spacing w:before="240" w:after="0"/>
        <w:ind w:hanging="0" w:left="0"/>
        <w:rPr/>
      </w:pPr>
      <w:r>
        <w:rPr/>
        <w:t>In addition to items specified in Section 017823 "Operation and Maintenance Data," include diagnostic and repair information available to manufacturer's and Installer's maintenance personnel.</w:t>
      </w:r>
    </w:p>
    <w:p>
      <w:pPr>
        <w:pStyle w:val="PR1"/>
        <w:numPr>
          <w:ilvl w:val="4"/>
          <w:numId w:val="1"/>
        </w:numPr>
        <w:ind w:hanging="0" w:left="0"/>
        <w:rPr/>
      </w:pPr>
      <w:r>
        <w:rPr/>
        <w:t>Inspection and Acceptance Certificates and Operating Permits: As required by authorities having jurisdiction for normal, unrestricted use of moving walks.</w:t>
      </w:r>
    </w:p>
    <w:p>
      <w:pPr>
        <w:pStyle w:val="CMT"/>
        <w:rPr/>
      </w:pPr>
      <w:r>
        <w:rPr/>
        <w:t>"Continuing Maintenance Proposal" Paragraph below provides service contract beyond initial maintenance period. If continuing maintenance proposal is submitted at time of bid, include that information in the Instructions to Bidders.</w:t>
      </w:r>
    </w:p>
    <w:p>
      <w:pPr>
        <w:pStyle w:val="PR1"/>
        <w:numPr>
          <w:ilvl w:val="4"/>
          <w:numId w:val="1"/>
        </w:numPr>
        <w:ind w:hanging="0" w:left="0"/>
        <w:rPr/>
      </w:pPr>
      <w:r>
        <w:rPr/>
        <w:t>Continuing Maintenance Proposal: Provide a continuing maintenance proposal from Installer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initial maintenance service is concluded. State services, obligations, conditions, and terms for agreement period and for future renewal options.</w:t>
      </w:r>
    </w:p>
    <w:p>
      <w:pPr>
        <w:pStyle w:val="ART"/>
        <w:numPr>
          <w:ilvl w:val="3"/>
          <w:numId w:val="1"/>
        </w:numPr>
        <w:ind w:hanging="0" w:left="0"/>
        <w:rPr/>
      </w:pPr>
      <w:r>
        <w:rPr/>
        <w:t>QUALITY ASSURANCE</w:t>
      </w:r>
    </w:p>
    <w:p>
      <w:pPr>
        <w:pStyle w:val="PR1"/>
        <w:numPr>
          <w:ilvl w:val="4"/>
          <w:numId w:val="1"/>
        </w:numPr>
        <w:ind w:hanging="0" w:left="0"/>
        <w:rPr/>
      </w:pPr>
      <w:r>
        <w:rPr/>
        <w:t>Installer Qualifications: Moving walk manufacturer[</w:t>
      </w:r>
      <w:r>
        <w:rPr>
          <w:b/>
        </w:rPr>
        <w:t> or an authorized representative who is trained and approved by manufacturer</w:t>
      </w:r>
      <w:r>
        <w:rPr/>
        <w:t>].</w:t>
      </w:r>
    </w:p>
    <w:p>
      <w:pPr>
        <w:pStyle w:val="ART"/>
        <w:numPr>
          <w:ilvl w:val="3"/>
          <w:numId w:val="1"/>
        </w:numPr>
        <w:ind w:hanging="0" w:left="0"/>
        <w:rPr/>
      </w:pPr>
      <w:r>
        <w:rPr/>
        <w:t>DELIVERY, STORAGE, AND HANDLING</w:t>
      </w:r>
    </w:p>
    <w:p>
      <w:pPr>
        <w:pStyle w:val="PR1"/>
        <w:numPr>
          <w:ilvl w:val="4"/>
          <w:numId w:val="1"/>
        </w:numPr>
        <w:ind w:hanging="0" w:left="0"/>
        <w:rPr/>
      </w:pPr>
      <w:r>
        <w:rPr/>
        <w:t>Deliver, store, and handle materials, components, and equipment in manufacturer's protective packaging. Store materials, components, and equipment off of ground, under cover, and in a dry location.</w:t>
      </w:r>
    </w:p>
    <w:p>
      <w:pPr>
        <w:pStyle w:val="ART"/>
        <w:numPr>
          <w:ilvl w:val="3"/>
          <w:numId w:val="1"/>
        </w:numPr>
        <w:ind w:hanging="0" w:left="0"/>
        <w:rPr/>
      </w:pPr>
      <w:r>
        <w:rPr/>
        <w:t>COORDINATION</w:t>
      </w:r>
    </w:p>
    <w:p>
      <w:pPr>
        <w:pStyle w:val="PR1"/>
        <w:numPr>
          <w:ilvl w:val="4"/>
          <w:numId w:val="1"/>
        </w:numPr>
        <w:ind w:hanging="0" w:left="0"/>
        <w:rPr/>
      </w:pPr>
      <w:r>
        <w:rPr/>
        <w:t>Coordinate installation of sleeves, block outs, moving walk equipment with integral anchors, and other items that are embedded in concrete or masonry for moving walk equipment. Furnish templates, sleeves, moving walk equipment with integral anchors, and installation instructions and deliver to Project site in time for installation.</w:t>
      </w:r>
    </w:p>
    <w:p>
      <w:pPr>
        <w:pStyle w:val="PR1"/>
        <w:numPr>
          <w:ilvl w:val="4"/>
          <w:numId w:val="1"/>
        </w:numPr>
        <w:ind w:hanging="0" w:left="0"/>
        <w:rPr/>
      </w:pPr>
      <w:r>
        <w:rPr/>
        <w:t>Coordinate locations and dimensions of other work relating to moving walks including sumps and floor drains in pits; electrical service; and electrical outlets, lights, and switches in pits.</w:t>
      </w:r>
    </w:p>
    <w:p>
      <w:pPr>
        <w:pStyle w:val="ART"/>
        <w:numPr>
          <w:ilvl w:val="3"/>
          <w:numId w:val="1"/>
        </w:numPr>
        <w:ind w:hanging="0" w:left="0"/>
        <w:rPr/>
      </w:pPr>
      <w:r>
        <w:rPr/>
        <w:t>WARRANTY</w:t>
      </w:r>
    </w:p>
    <w:p>
      <w:pPr>
        <w:pStyle w:val="CMT"/>
        <w:rPr/>
      </w:pPr>
      <w:r>
        <w:rPr/>
        <w:t>Delete this article if appropriate, especially if a good maintenance agreement is established.</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Special Warranty: Manufacturer agrees to repair, restore, or replace moving walk work that fails in materials or workmanship within specified warranty period.</w:t>
      </w:r>
    </w:p>
    <w:p>
      <w:pPr>
        <w:pStyle w:val="PR2"/>
        <w:numPr>
          <w:ilvl w:val="5"/>
          <w:numId w:val="1"/>
        </w:numPr>
        <w:spacing w:before="240" w:after="0"/>
        <w:ind w:hanging="0" w:left="0"/>
        <w:rPr/>
      </w:pPr>
      <w:r>
        <w:rPr/>
        <w:t>Failures include, but are not limited to, operation or control system failure, including excessive malfunctions; performances below specified ratings; excessive wear; unusual deterioration or aging of materials or finishes; unsafe conditions; the need for excessive maintenance; abnormal noise or vibration; and similar unusual, unexpected, and unsatisfactory conditions.</w:t>
      </w:r>
    </w:p>
    <w:p>
      <w:pPr>
        <w:pStyle w:val="CMT"/>
        <w:rPr/>
      </w:pPr>
      <w:r>
        <w:rPr/>
        <w:t>Verify available warranties and warranty periods for units and components.</w:t>
      </w:r>
    </w:p>
    <w:p>
      <w:pPr>
        <w:pStyle w:val="PR2"/>
        <w:numPr>
          <w:ilvl w:val="5"/>
          <w:numId w:val="1"/>
        </w:numPr>
        <w:ind w:hanging="0" w:left="0"/>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moving walks[</w:t>
      </w:r>
      <w:r>
        <w:rPr>
          <w:b/>
        </w:rPr>
        <w:t> and escalators</w:t>
      </w:r>
      <w:r>
        <w:rPr/>
        <w:t>] from single manufacturer.</w:t>
      </w:r>
    </w:p>
    <w:p>
      <w:pPr>
        <w:pStyle w:val="ART"/>
        <w:numPr>
          <w:ilvl w:val="3"/>
          <w:numId w:val="1"/>
        </w:numPr>
        <w:ind w:hanging="0" w:left="0"/>
        <w:rPr/>
      </w:pPr>
      <w:r>
        <w:rPr/>
        <w:t>PERFORMANCE REQUIREMENTS</w:t>
      </w:r>
    </w:p>
    <w:p>
      <w:pPr>
        <w:pStyle w:val="CMT"/>
        <w:rPr/>
      </w:pPr>
      <w:r>
        <w:rPr/>
        <w:t>The International Building Code requires compliance with ASME A17.1/CSA B44. Insert other requirements, if any, of authorities having jurisdiction.</w:t>
      </w:r>
    </w:p>
    <w:p>
      <w:pPr>
        <w:pStyle w:val="PR1"/>
        <w:numPr>
          <w:ilvl w:val="4"/>
          <w:numId w:val="1"/>
        </w:numPr>
        <w:ind w:hanging="0" w:left="0"/>
        <w:rPr/>
      </w:pPr>
      <w:r>
        <w:rPr/>
        <w:t>Regulatory Requirements: Comply with ASME A17.1/CSA B44.</w:t>
      </w:r>
    </w:p>
    <w:p>
      <w:pPr>
        <w:pStyle w:val="PR1"/>
        <w:numPr>
          <w:ilvl w:val="4"/>
          <w:numId w:val="1"/>
        </w:numPr>
        <w:ind w:hanging="0" w:left="0"/>
        <w:rPr/>
      </w:pPr>
      <w:r>
        <w:rPr/>
        <w:t>Drive System Energy Performance: Provide drive system and motor that complies with requirements of the ICC's International Green Construction Code (IgCC).</w:t>
      </w:r>
    </w:p>
    <w:p>
      <w:pPr>
        <w:pStyle w:val="CMT"/>
        <w:rPr/>
      </w:pPr>
      <w:r>
        <w:rPr/>
        <w:t>Consider retaining "Structural Performance of Balustrades, Deck Barricades, and Handrails" Paragraph below; revise if local building code has more stringent requirements. ASME A17.1/CSA B44 has structural requirements for handrails, but they are not the same as those in ASCE/SEI 7. Authorities having jurisdiction may require compliance with railing requirements in building code, which usually references ASCE/SEI 7.</w:t>
      </w:r>
    </w:p>
    <w:p>
      <w:pPr>
        <w:pStyle w:val="PR1"/>
        <w:numPr>
          <w:ilvl w:val="4"/>
          <w:numId w:val="1"/>
        </w:numPr>
        <w:ind w:hanging="0" w:left="0"/>
        <w:rPr/>
      </w:pPr>
      <w:r>
        <w:rPr/>
        <w:t>Structural Performance of Balustrades, Deck Barricades, and Handrails: Provide components and assemblies capable of withstanding the effects of loads indicated in ASCE/SEI 7 for handrail assemblies and guardrail systems.</w:t>
      </w:r>
    </w:p>
    <w:p>
      <w:pPr>
        <w:pStyle w:val="ART"/>
        <w:numPr>
          <w:ilvl w:val="3"/>
          <w:numId w:val="1"/>
        </w:numPr>
        <w:ind w:hanging="0" w:left="0"/>
        <w:rPr/>
      </w:pPr>
      <w:r>
        <w:rPr/>
        <w:t>MOVING WALKS</w:t>
      </w:r>
    </w:p>
    <w:p>
      <w:pPr>
        <w:pStyle w:val="PR1"/>
        <w:numPr>
          <w:ilvl w:val="4"/>
          <w:numId w:val="1"/>
        </w:numPr>
        <w:ind w:hanging="0" w:left="0"/>
        <w:rPr/>
      </w:pPr>
      <w:r>
        <w:rPr/>
        <w:t>Moving Walks, General: Manufacturer's standard [</w:t>
      </w:r>
      <w:r>
        <w:rPr>
          <w:b/>
        </w:rPr>
        <w:t>pallet-</w:t>
      </w:r>
      <w:r>
        <w:rPr/>
        <w:t>] [</w:t>
      </w:r>
      <w:r>
        <w:rPr>
          <w:b/>
        </w:rPr>
        <w:t>or</w:t>
      </w:r>
      <w:r>
        <w:rPr/>
        <w:t>] [</w:t>
      </w:r>
      <w:r>
        <w:rPr>
          <w:b/>
        </w:rPr>
        <w:t>belt-</w:t>
      </w:r>
      <w:r>
        <w:rPr/>
        <w:t>]type moving walks complying with requirements. Unless otherwise indicated, manufacturer's standard components shall be used as included in standard moving walk systems and as required for complete system.</w:t>
      </w:r>
    </w:p>
    <w:p>
      <w:pPr>
        <w:pStyle w:val="PR1"/>
        <w:numPr>
          <w:ilvl w:val="4"/>
          <w:numId w:val="1"/>
        </w:numPr>
        <w:ind w:hanging="0" w:left="0"/>
        <w:rPr/>
      </w:pPr>
      <w:r>
        <w:rPr/>
        <w:t>Design and equip moving walks to run in either direction.</w:t>
      </w:r>
    </w:p>
    <w:p>
      <w:pPr>
        <w:pStyle w:val="CMT"/>
        <w:rPr/>
      </w:pPr>
      <w:r>
        <w:rPr/>
        <w:t>Retain one of five options in "Rated Speed" Paragraph below or revise to suit Project. ASME A17.1/CSA B44 limits speed to 180 fpm (0.9 m/s) for moving walks that are sloped no more than 8 degrees and to 140 fpm (0.7 m/s) for those sloped more than 8 degrees but no more than 12 degrees.</w:t>
      </w:r>
    </w:p>
    <w:p>
      <w:pPr>
        <w:pStyle w:val="PR1"/>
        <w:numPr>
          <w:ilvl w:val="4"/>
          <w:numId w:val="1"/>
        </w:numPr>
        <w:ind w:hanging="0" w:left="0"/>
        <w:rPr/>
      </w:pPr>
      <w:r>
        <w:rPr/>
        <w:t>Rated Speed: [</w:t>
      </w:r>
      <w:r>
        <w:rPr>
          <w:rStyle w:val="IP"/>
          <w:b/>
        </w:rPr>
        <w:t>90 fpm</w:t>
      </w:r>
      <w:r>
        <w:rPr>
          <w:rStyle w:val="SI"/>
          <w:b/>
        </w:rPr>
        <w:t xml:space="preserve"> (0.45 m/s)</w:t>
      </w:r>
      <w:r>
        <w:rPr/>
        <w:t>] [</w:t>
      </w:r>
      <w:r>
        <w:rPr>
          <w:rStyle w:val="IP"/>
          <w:b/>
        </w:rPr>
        <w:t>100 fpm</w:t>
      </w:r>
      <w:r>
        <w:rPr>
          <w:rStyle w:val="SI"/>
          <w:b/>
        </w:rPr>
        <w:t xml:space="preserve"> (0.5 m/s)</w:t>
      </w:r>
      <w:r>
        <w:rPr/>
        <w:t>] [</w:t>
      </w:r>
      <w:r>
        <w:rPr>
          <w:rStyle w:val="IP"/>
          <w:b/>
        </w:rPr>
        <w:t>120 fpm</w:t>
      </w:r>
      <w:r>
        <w:rPr>
          <w:rStyle w:val="SI"/>
          <w:b/>
        </w:rPr>
        <w:t xml:space="preserve"> (0.6 m/s)</w:t>
      </w:r>
      <w:r>
        <w:rPr/>
        <w:t>] [</w:t>
      </w:r>
      <w:r>
        <w:rPr>
          <w:rStyle w:val="IP"/>
          <w:b/>
        </w:rPr>
        <w:t>130 fpm</w:t>
      </w:r>
      <w:r>
        <w:rPr>
          <w:rStyle w:val="SI"/>
          <w:b/>
        </w:rPr>
        <w:t xml:space="preserve"> (0.66 m/s)</w:t>
      </w:r>
      <w:r>
        <w:rPr/>
        <w:t>] [</w:t>
      </w:r>
      <w:r>
        <w:rPr>
          <w:rStyle w:val="IP"/>
          <w:b/>
        </w:rPr>
        <w:t>150 fpm</w:t>
      </w:r>
      <w:r>
        <w:rPr>
          <w:rStyle w:val="SI"/>
          <w:b/>
        </w:rPr>
        <w:t xml:space="preserve"> (0.76 m/s)</w:t>
      </w:r>
      <w:r>
        <w:rPr/>
        <w:t>] &lt;</w:t>
      </w:r>
      <w:r>
        <w:rPr>
          <w:b/>
        </w:rPr>
        <w:t>Insert value</w:t>
      </w:r>
      <w:r>
        <w:rPr/>
        <w:t>&gt;.</w:t>
      </w:r>
    </w:p>
    <w:p>
      <w:pPr>
        <w:pStyle w:val="ART"/>
        <w:numPr>
          <w:ilvl w:val="3"/>
          <w:numId w:val="1"/>
        </w:numPr>
        <w:ind w:hanging="0" w:left="0"/>
        <w:rPr/>
      </w:pPr>
      <w:r>
        <w:rPr/>
        <w:t>COMPONENTS</w:t>
      </w:r>
    </w:p>
    <w:p>
      <w:pPr>
        <w:pStyle w:val="PR1"/>
        <w:numPr>
          <w:ilvl w:val="4"/>
          <w:numId w:val="1"/>
        </w:numPr>
        <w:ind w:hanging="0" w:left="0"/>
        <w:rPr/>
      </w:pPr>
      <w:r>
        <w:rPr/>
        <w:t>Fabricate exposed metalwork, including deck covers, balustrade panels, and trim, to provide surface flatness equivalent to stretcher-leveled standard of flatness and sufficient strength for indicated use; increase metal thickness or reinforce with concealed stiffeners, backing materials, or both, as necessary. Support joints with concealed stiffeners as needed to hold exposed faces of adjoining sheets in flush alignment.</w:t>
      </w:r>
    </w:p>
    <w:p>
      <w:pPr>
        <w:pStyle w:val="PR1"/>
        <w:numPr>
          <w:ilvl w:val="4"/>
          <w:numId w:val="1"/>
        </w:numPr>
        <w:ind w:hanging="0" w:left="0"/>
        <w:rPr/>
      </w:pPr>
      <w:r>
        <w:rPr/>
        <w:t>Opaque Balustrades: Manufacturer's standard profile or arrangement of moving handrails on fully paneled guide rail with interior balustrade panels, deck covers, skirts, trim, and accessories.[</w:t>
      </w:r>
      <w:r>
        <w:rPr>
          <w:b/>
        </w:rPr>
        <w:t> Prepared for exterior finish below the deck covers; exterior finish specified in another Section.</w:t>
      </w:r>
      <w:r>
        <w:rPr/>
        <w:t>]</w:t>
      </w:r>
    </w:p>
    <w:p>
      <w:pPr>
        <w:pStyle w:val="PR1"/>
        <w:numPr>
          <w:ilvl w:val="4"/>
          <w:numId w:val="1"/>
        </w:numPr>
        <w:ind w:hanging="0" w:left="0"/>
        <w:rPr/>
      </w:pPr>
      <w:r>
        <w:rPr/>
        <w:t>Transparent Balustrades: Manufacturer's standard profile or arrangement of moving handrails on guide rail that is supported by [</w:t>
      </w:r>
      <w:r>
        <w:rPr>
          <w:b/>
        </w:rPr>
        <w:t>clear</w:t>
      </w:r>
      <w:r>
        <w:rPr/>
        <w:t>] [</w:t>
      </w:r>
      <w:r>
        <w:rPr>
          <w:b/>
        </w:rPr>
        <w:t>tinted</w:t>
      </w:r>
      <w:r>
        <w:rPr/>
        <w:t>] tempered glass panels, with deck covers, skirts, trim, and accessories.[</w:t>
      </w:r>
      <w:r>
        <w:rPr>
          <w:b/>
        </w:rPr>
        <w:t> Prepared for exterior finish below the deck covers; exterior finish specified in another Section.</w:t>
      </w:r>
      <w:r>
        <w:rPr/>
        <w:t>]</w:t>
      </w:r>
    </w:p>
    <w:p>
      <w:pPr>
        <w:pStyle w:val="CMT"/>
        <w:rPr/>
      </w:pPr>
      <w:r>
        <w:rPr/>
        <w:t>Direction indicator lights allow approaching passengers to determine travel direction of moving walk.</w:t>
      </w:r>
    </w:p>
    <w:p>
      <w:pPr>
        <w:pStyle w:val="PR1"/>
        <w:numPr>
          <w:ilvl w:val="4"/>
          <w:numId w:val="1"/>
        </w:numPr>
        <w:ind w:hanging="0" w:left="0"/>
        <w:rPr/>
      </w:pPr>
      <w:r>
        <w:rPr/>
        <w:t xml:space="preserve">Direction Indicator Lights: Provide red and green indicator lights at least </w:t>
      </w:r>
      <w:r>
        <w:rPr>
          <w:rStyle w:val="IP"/>
        </w:rPr>
        <w:t>2 inches</w:t>
      </w:r>
      <w:r>
        <w:rPr>
          <w:rStyle w:val="SI"/>
        </w:rPr>
        <w:t xml:space="preserve"> (50 mm)</w:t>
      </w:r>
      <w:r>
        <w:rPr/>
        <w:t xml:space="preserve"> in diameter in [</w:t>
      </w:r>
      <w:r>
        <w:rPr>
          <w:b/>
        </w:rPr>
        <w:t>right-hand</w:t>
      </w:r>
      <w:r>
        <w:rPr/>
        <w:t>] [</w:t>
      </w:r>
      <w:r>
        <w:rPr>
          <w:b/>
        </w:rPr>
        <w:t>both</w:t>
      </w:r>
      <w:r>
        <w:rPr/>
        <w:t>] balustrade newels at both landings. Green light indicates entrance end, and red light indicates exit end. When moving walk is stopped, red lights are illuminated at both ends.</w:t>
      </w:r>
    </w:p>
    <w:p>
      <w:pPr>
        <w:pStyle w:val="PR1"/>
        <w:numPr>
          <w:ilvl w:val="4"/>
          <w:numId w:val="1"/>
        </w:numPr>
        <w:ind w:hanging="0" w:left="0"/>
        <w:rPr/>
      </w:pPr>
      <w:r>
        <w:rPr/>
        <w:t>Handrails: Smooth, jointless, reinforced neoprene.</w:t>
      </w:r>
    </w:p>
    <w:p>
      <w:pPr>
        <w:pStyle w:val="PR2"/>
        <w:numPr>
          <w:ilvl w:val="5"/>
          <w:numId w:val="1"/>
        </w:numPr>
        <w:spacing w:before="240" w:after="0"/>
        <w:ind w:hanging="0" w:left="0"/>
        <w:rPr/>
      </w:pPr>
      <w:r>
        <w:rPr/>
        <w:t>Color: [</w:t>
      </w:r>
      <w:r>
        <w:rPr>
          <w:b/>
        </w:rPr>
        <w:t>Black</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ind w:hanging="0" w:left="0"/>
        <w:rPr/>
      </w:pPr>
      <w:r>
        <w:rPr/>
        <w:t>Deck Covers and Trim: [</w:t>
      </w:r>
      <w:r>
        <w:rPr>
          <w:b/>
        </w:rPr>
        <w:t>Satin stainless steel</w:t>
      </w:r>
      <w:r>
        <w:rPr/>
        <w:t>] [</w:t>
      </w:r>
      <w:r>
        <w:rPr>
          <w:b/>
        </w:rPr>
        <w:t>Polished stainless steel</w:t>
      </w:r>
      <w:r>
        <w:rPr/>
        <w:t>] [</w:t>
      </w:r>
      <w:r>
        <w:rPr>
          <w:b/>
        </w:rPr>
        <w:t>Satin bronze</w:t>
      </w:r>
      <w:r>
        <w:rPr/>
        <w:t>].</w:t>
      </w:r>
    </w:p>
    <w:p>
      <w:pPr>
        <w:pStyle w:val="CMT"/>
        <w:rPr/>
      </w:pPr>
      <w:r>
        <w:rPr/>
        <w:t>Retain "Balustrade Interior Panels" Paragraph below if required for moving walks with opaque balustrades.</w:t>
      </w:r>
    </w:p>
    <w:p>
      <w:pPr>
        <w:pStyle w:val="PR1"/>
        <w:numPr>
          <w:ilvl w:val="4"/>
          <w:numId w:val="1"/>
        </w:numPr>
        <w:ind w:hanging="0" w:left="0"/>
        <w:rPr/>
      </w:pPr>
      <w:r>
        <w:rPr/>
        <w:t>Balustrade Interior Panels: [</w:t>
      </w:r>
      <w:r>
        <w:rPr>
          <w:b/>
        </w:rPr>
        <w:t>Satin stainless steel</w:t>
      </w:r>
      <w:r>
        <w:rPr/>
        <w:t>] [</w:t>
      </w:r>
      <w:r>
        <w:rPr>
          <w:b/>
        </w:rPr>
        <w:t>Polished stainless steel</w:t>
      </w:r>
      <w:r>
        <w:rPr/>
        <w:t>] [</w:t>
      </w:r>
      <w:r>
        <w:rPr>
          <w:b/>
        </w:rPr>
        <w:t>Satin bronze</w:t>
      </w:r>
      <w:r>
        <w:rPr/>
        <w:t>].</w:t>
      </w:r>
    </w:p>
    <w:p>
      <w:pPr>
        <w:pStyle w:val="CMT"/>
        <w:rPr/>
      </w:pPr>
      <w:r>
        <w:rPr/>
        <w:t>Retain "Balustrade Exterior Panels" Paragraph below unless specifying moving walk exterior finish in another Section; coordinate with "Related Requirements" Paragraph in "Summary" Article.</w:t>
      </w:r>
    </w:p>
    <w:p>
      <w:pPr>
        <w:pStyle w:val="PR1"/>
        <w:numPr>
          <w:ilvl w:val="4"/>
          <w:numId w:val="1"/>
        </w:numPr>
        <w:ind w:hanging="0" w:left="0"/>
        <w:rPr/>
      </w:pPr>
      <w:r>
        <w:rPr/>
        <w:t>Balustrade Exterior Panels: [</w:t>
      </w:r>
      <w:r>
        <w:rPr>
          <w:b/>
        </w:rPr>
        <w:t>Satin stainless steel</w:t>
      </w:r>
      <w:r>
        <w:rPr/>
        <w:t>] [</w:t>
      </w:r>
      <w:r>
        <w:rPr>
          <w:b/>
        </w:rPr>
        <w:t>Polished stainless steel</w:t>
      </w:r>
      <w:r>
        <w:rPr/>
        <w:t>] [</w:t>
      </w:r>
      <w:r>
        <w:rPr>
          <w:b/>
        </w:rPr>
        <w:t>Satin bronze</w:t>
      </w:r>
      <w:r>
        <w:rPr/>
        <w:t>].</w:t>
      </w:r>
    </w:p>
    <w:p>
      <w:pPr>
        <w:pStyle w:val="CMT"/>
        <w:rPr/>
      </w:pPr>
      <w:r>
        <w:rPr/>
        <w:t>ASME A17.1/CSA B44 allows skirtless moving walks with interior balustrade panels that overhang the treadway rather than skirt panels that fit alongside the treadway.</w:t>
      </w:r>
    </w:p>
    <w:p>
      <w:pPr>
        <w:pStyle w:val="PR1"/>
        <w:numPr>
          <w:ilvl w:val="4"/>
          <w:numId w:val="1"/>
        </w:numPr>
        <w:ind w:hanging="0" w:left="0"/>
        <w:rPr/>
      </w:pPr>
      <w:r>
        <w:rPr/>
        <w:t>Skirt Panels, if Applicable: [</w:t>
      </w:r>
      <w:r>
        <w:rPr>
          <w:b/>
        </w:rPr>
        <w:t>Polished stainless steel</w:t>
      </w:r>
      <w:r>
        <w:rPr/>
        <w:t>] [</w:t>
      </w:r>
      <w:r>
        <w:rPr>
          <w:b/>
        </w:rPr>
        <w:t>Satin stainless steel with exposed surface coated with clear PTFE</w:t>
      </w:r>
      <w:r>
        <w:rPr/>
        <w:t>] [</w:t>
      </w:r>
      <w:r>
        <w:rPr>
          <w:b/>
        </w:rPr>
        <w:t>Steel panels with exposed surface coated with PTFE</w:t>
      </w:r>
      <w:r>
        <w:rPr/>
        <w:t>].</w:t>
      </w:r>
    </w:p>
    <w:p>
      <w:pPr>
        <w:pStyle w:val="CMT"/>
        <w:rPr/>
      </w:pPr>
      <w:r>
        <w:rPr/>
        <w:t>Subparagraph below is stricter than requirement in ASME A17.1/CSA B44 but may reduce the risk of accidents.</w:t>
      </w:r>
    </w:p>
    <w:p>
      <w:pPr>
        <w:pStyle w:val="PR2"/>
        <w:numPr>
          <w:ilvl w:val="5"/>
          <w:numId w:val="1"/>
        </w:numPr>
        <w:spacing w:before="240" w:after="0"/>
        <w:ind w:hanging="0" w:left="0"/>
        <w:rPr/>
      </w:pPr>
      <w:r>
        <w:rPr/>
        <w:t xml:space="preserve">Clearance between skirt panels or overhanging balustrade panels and treadway shall not exceed </w:t>
      </w:r>
      <w:r>
        <w:rPr>
          <w:rStyle w:val="IP"/>
        </w:rPr>
        <w:t>1/16 inch</w:t>
      </w:r>
      <w:r>
        <w:rPr>
          <w:rStyle w:val="SI"/>
        </w:rPr>
        <w:t xml:space="preserve"> (1.6 mm)</w:t>
      </w:r>
      <w:r>
        <w:rPr/>
        <w:t>.</w:t>
      </w:r>
    </w:p>
    <w:p>
      <w:pPr>
        <w:pStyle w:val="CMT"/>
        <w:rPr/>
      </w:pPr>
      <w:r>
        <w:rPr/>
        <w:t>Most combs are now made of plastic; before the color yellow came into use, most combs were made of aluminum.</w:t>
      </w:r>
    </w:p>
    <w:p>
      <w:pPr>
        <w:pStyle w:val="PR1"/>
        <w:numPr>
          <w:ilvl w:val="4"/>
          <w:numId w:val="1"/>
        </w:numPr>
        <w:ind w:hanging="0" w:left="0"/>
        <w:rPr/>
      </w:pPr>
      <w:r>
        <w:rPr/>
        <w:t>Combs: [</w:t>
      </w:r>
      <w:r>
        <w:rPr>
          <w:b/>
        </w:rPr>
        <w:t>Integrally colored structural plastic</w:t>
      </w:r>
      <w:r>
        <w:rPr/>
        <w:t>] [</w:t>
      </w:r>
      <w:r>
        <w:rPr>
          <w:b/>
        </w:rPr>
        <w:t>Cast aluminum</w:t>
      </w:r>
      <w:r>
        <w:rPr/>
        <w:t>] [</w:t>
      </w:r>
      <w:r>
        <w:rPr>
          <w:b/>
        </w:rPr>
        <w:t>Cast aluminum with powder-coated finish</w:t>
      </w:r>
      <w:r>
        <w:rPr/>
        <w:t>].</w:t>
      </w:r>
    </w:p>
    <w:p>
      <w:pPr>
        <w:pStyle w:val="CMT"/>
        <w:rPr/>
      </w:pPr>
      <w:r>
        <w:rPr/>
        <w:t>ASME A17.1/CSA B44 requires visual contrast between comb and steps (by color, pattern, or texture). Before retaining one of four options in "Comb Color" Subparagraph below, verify availability of colors with manufacturers.</w:t>
      </w:r>
    </w:p>
    <w:p>
      <w:pPr>
        <w:pStyle w:val="PR2"/>
        <w:numPr>
          <w:ilvl w:val="5"/>
          <w:numId w:val="1"/>
        </w:numPr>
        <w:spacing w:before="240" w:after="0"/>
        <w:ind w:hanging="0" w:left="0"/>
        <w:rPr/>
      </w:pPr>
      <w:r>
        <w:rPr/>
        <w:t>Comb Color: [</w:t>
      </w:r>
      <w:r>
        <w:rPr>
          <w:b/>
        </w:rPr>
        <w:t>Yellow</w:t>
      </w:r>
      <w:r>
        <w:rPr/>
        <w:t>] [</w:t>
      </w:r>
      <w:r>
        <w:rPr>
          <w:b/>
        </w:rPr>
        <w:t>Black</w:t>
      </w:r>
      <w:r>
        <w:rPr/>
        <w:t>] [</w:t>
      </w:r>
      <w:r>
        <w:rPr>
          <w:b/>
        </w:rPr>
        <w:t>Gray</w:t>
      </w:r>
      <w:r>
        <w:rPr/>
        <w:t>] [</w:t>
      </w:r>
      <w:r>
        <w:rPr>
          <w:b/>
        </w:rPr>
        <w:t>Red</w:t>
      </w:r>
      <w:r>
        <w:rPr/>
        <w:t>] &lt;</w:t>
      </w:r>
      <w:r>
        <w:rPr>
          <w:b/>
        </w:rPr>
        <w:t>Insert color</w:t>
      </w:r>
      <w:r>
        <w:rPr/>
        <w:t>&gt;.</w:t>
      </w:r>
    </w:p>
    <w:p>
      <w:pPr>
        <w:pStyle w:val="CMT"/>
        <w:rPr/>
      </w:pPr>
      <w:r>
        <w:rPr/>
        <w:t>Feature in "Combplate Lights" Paragraph below is especially useful if lighting levels are low.</w:t>
      </w:r>
    </w:p>
    <w:p>
      <w:pPr>
        <w:pStyle w:val="PR1"/>
        <w:numPr>
          <w:ilvl w:val="4"/>
          <w:numId w:val="1"/>
        </w:numPr>
        <w:ind w:hanging="0" w:left="0"/>
        <w:rPr/>
      </w:pPr>
      <w:r>
        <w:rPr/>
        <w:t>Combplate Lights: Provide recessed light fixtures with flush lenses mounted in interior balustrade panels at each side of combplates, designed to illuminate treadway at combplate.</w:t>
      </w:r>
    </w:p>
    <w:p>
      <w:pPr>
        <w:pStyle w:val="CMT"/>
        <w:rPr/>
      </w:pPr>
      <w:r>
        <w:rPr/>
        <w:t>Retain last option in "Floor Plates" Paragraph below for exterior applications and near building entrances. Verify availability of abrasive surface stainless steel with manufacturers before retaining.</w:t>
      </w:r>
    </w:p>
    <w:p>
      <w:pPr>
        <w:pStyle w:val="PR1"/>
        <w:numPr>
          <w:ilvl w:val="4"/>
          <w:numId w:val="1"/>
        </w:numPr>
        <w:ind w:hanging="0" w:left="0"/>
        <w:rPr/>
      </w:pPr>
      <w:r>
        <w:rPr/>
        <w:t>Floor Plates: [</w:t>
      </w:r>
      <w:r>
        <w:rPr>
          <w:b/>
        </w:rPr>
        <w:t>Cast or extruded aluminum</w:t>
      </w:r>
      <w:r>
        <w:rPr/>
        <w:t>] [</w:t>
      </w:r>
      <w:r>
        <w:rPr>
          <w:b/>
        </w:rPr>
        <w:t>Stainless steel</w:t>
      </w:r>
      <w:r>
        <w:rPr/>
        <w:t>] with grooved or patterned surface[</w:t>
      </w:r>
      <w:r>
        <w:rPr>
          <w:b/>
        </w:rPr>
        <w:t> and with abrasive material embedded in or metallically bonded to floor-plate surface</w:t>
      </w:r>
      <w:r>
        <w:rPr/>
        <w:t>].</w:t>
      </w:r>
    </w:p>
    <w:p>
      <w:pPr>
        <w:pStyle w:val="ART"/>
        <w:numPr>
          <w:ilvl w:val="3"/>
          <w:numId w:val="1"/>
        </w:numPr>
        <w:ind w:hanging="0" w:left="0"/>
        <w:rPr/>
      </w:pPr>
      <w:r>
        <w:rPr/>
        <w:t>FEATURES</w:t>
      </w:r>
    </w:p>
    <w:p>
      <w:pPr>
        <w:pStyle w:val="CMT"/>
        <w:rPr/>
      </w:pPr>
      <w:r>
        <w:rPr/>
        <w:t>If needed, revise location of switches in "Operational Control" Paragraph below; starting switch must be located with treadway in sight.</w:t>
      </w:r>
    </w:p>
    <w:p>
      <w:pPr>
        <w:pStyle w:val="PR1"/>
        <w:numPr>
          <w:ilvl w:val="4"/>
          <w:numId w:val="1"/>
        </w:numPr>
        <w:ind w:hanging="0" w:left="0"/>
        <w:rPr/>
      </w:pPr>
      <w:r>
        <w:rPr/>
        <w:t>Operational Control: Provide key-operated starter switches[</w:t>
      </w:r>
      <w:r>
        <w:rPr>
          <w:b/>
        </w:rPr>
        <w:t> and key-operated switches for directional control</w:t>
      </w:r>
      <w:r>
        <w:rPr/>
        <w:t>] located on exterior deck above newel base at both ends of moving walks.</w:t>
      </w:r>
    </w:p>
    <w:p>
      <w:pPr>
        <w:pStyle w:val="CMT"/>
        <w:rPr/>
      </w:pPr>
      <w:r>
        <w:rPr/>
        <w:t>Most manufacturers offer some form of fault indicator to help determine the cause of malfunctions. Consult manufacturers and revise "Fault Indicator" Paragraph below if needed. Delete if not required.</w:t>
      </w:r>
    </w:p>
    <w:p>
      <w:pPr>
        <w:pStyle w:val="PR1"/>
        <w:numPr>
          <w:ilvl w:val="4"/>
          <w:numId w:val="1"/>
        </w:numPr>
        <w:ind w:hanging="0" w:left="0"/>
        <w:rPr/>
      </w:pPr>
      <w:r>
        <w:rPr/>
        <w:t>Fault Indicator: Provide moving walks with a microprocessor unit that monitors safety devices, motor temperature, and moving walk speed and records in nonvolatile memory date, time, and device identification if a safety device is activated or moving walk malfunctions.</w:t>
      </w:r>
    </w:p>
    <w:p>
      <w:pPr>
        <w:pStyle w:val="PR2"/>
        <w:numPr>
          <w:ilvl w:val="5"/>
          <w:numId w:val="1"/>
        </w:numPr>
        <w:spacing w:before="240" w:after="0"/>
        <w:ind w:hanging="0" w:left="0"/>
        <w:rPr/>
      </w:pPr>
      <w:r>
        <w:rPr/>
        <w:t>Provide built-in[</w:t>
      </w:r>
      <w:r>
        <w:rPr>
          <w:b/>
        </w:rPr>
        <w:t> or plug-in</w:t>
      </w:r>
      <w:r>
        <w:rPr/>
        <w:t>] unit to display recorded information.</w:t>
      </w:r>
    </w:p>
    <w:p>
      <w:pPr>
        <w:pStyle w:val="CMT"/>
        <w:rPr/>
      </w:pPr>
      <w:r>
        <w:rPr/>
        <w:t>"Reduced-Current Starting" Paragraph below is an alternative with some manufacturers, standard with others.</w:t>
      </w:r>
    </w:p>
    <w:p>
      <w:pPr>
        <w:pStyle w:val="PR1"/>
        <w:numPr>
          <w:ilvl w:val="4"/>
          <w:numId w:val="1"/>
        </w:numPr>
        <w:ind w:hanging="0" w:left="0"/>
        <w:rPr/>
      </w:pPr>
      <w:r>
        <w:rPr/>
        <w:t>Reduced-Current Starting: Provide moving walk motors with wye-delta or solid-state starting.</w:t>
      </w:r>
    </w:p>
    <w:p>
      <w:pPr>
        <w:pStyle w:val="CMT"/>
        <w:rPr/>
      </w:pPr>
      <w:r>
        <w:rPr/>
        <w:t>Verify availability and cost of feature in "Energy-Saving Feature" Paragraph below before specifying. Extra cost could be recouped by energy savings. Do not retain both this paragraph and "Standby Speed Feature" Paragraph.</w:t>
      </w:r>
    </w:p>
    <w:p>
      <w:pPr>
        <w:pStyle w:val="PR1"/>
        <w:numPr>
          <w:ilvl w:val="4"/>
          <w:numId w:val="1"/>
        </w:numPr>
        <w:ind w:hanging="0" w:left="0"/>
        <w:rPr/>
      </w:pPr>
      <w:r>
        <w:rPr/>
        <w:t>Energy-Saving Feature: Provide moving walk motors and controls designed for motors running on partial windings (at reduced power) when not under full load.</w:t>
      </w:r>
    </w:p>
    <w:p>
      <w:pPr>
        <w:pStyle w:val="CMT"/>
        <w:rPr/>
      </w:pPr>
      <w:r>
        <w:rPr/>
        <w:t>"Standby Speed Feature" Paragraph below is based on requirement in IgCC. Do not retain both this paragraph and "Energy-Saving Feature" Paragraph.</w:t>
      </w:r>
    </w:p>
    <w:p>
      <w:pPr>
        <w:pStyle w:val="PR1"/>
        <w:numPr>
          <w:ilvl w:val="4"/>
          <w:numId w:val="1"/>
        </w:numPr>
        <w:ind w:hanging="0" w:left="0"/>
        <w:rPr/>
      </w:pPr>
      <w:r>
        <w:rPr/>
        <w:t>Standby Speed Feature: Provide variable-speed controls that comply with ASME A17.1/CSA B44 and the following:</w:t>
      </w:r>
    </w:p>
    <w:p>
      <w:pPr>
        <w:pStyle w:val="PR2"/>
        <w:numPr>
          <w:ilvl w:val="5"/>
          <w:numId w:val="1"/>
        </w:numPr>
        <w:spacing w:before="240" w:after="0"/>
        <w:ind w:hanging="0" w:left="0"/>
        <w:rPr/>
      </w:pPr>
      <w:r>
        <w:rPr/>
        <w:t xml:space="preserve">Controls decelerate the moving walk to a speed of no more than </w:t>
      </w:r>
      <w:r>
        <w:rPr>
          <w:rStyle w:val="IP"/>
        </w:rPr>
        <w:t>30 fpm</w:t>
      </w:r>
      <w:r>
        <w:rPr>
          <w:rStyle w:val="SI"/>
        </w:rPr>
        <w:t xml:space="preserve"> (0.15 m/s)</w:t>
      </w:r>
      <w:r>
        <w:rPr/>
        <w:t xml:space="preserve"> after the moving walk is unoccupied and no passengers are approaching the moving walk for a predetermined time interval.</w:t>
      </w:r>
    </w:p>
    <w:p>
      <w:pPr>
        <w:pStyle w:val="PR2"/>
        <w:numPr>
          <w:ilvl w:val="5"/>
          <w:numId w:val="1"/>
        </w:numPr>
        <w:ind w:hanging="0" w:left="0"/>
        <w:rPr/>
      </w:pPr>
      <w:r>
        <w:rPr/>
        <w:t>Controls detect approaching passengers and accelerate the moving walk to rated speed by the time passengers reach the combplate.</w:t>
      </w:r>
    </w:p>
    <w:p>
      <w:pPr>
        <w:pStyle w:val="PR1"/>
        <w:numPr>
          <w:ilvl w:val="4"/>
          <w:numId w:val="1"/>
        </w:numPr>
        <w:ind w:hanging="0" w:left="0"/>
        <w:rPr/>
      </w:pPr>
      <w:r>
        <w:rPr/>
        <w:t>Brake-Saving Feature: Provide stopping mechanism that allows moving walks to coast to a stop before applying brakes, unless stopping is initiated by a safety device.</w:t>
      </w:r>
    </w:p>
    <w:p>
      <w:pPr>
        <w:pStyle w:val="CMT"/>
        <w:rPr/>
      </w:pPr>
      <w:r>
        <w:rPr/>
        <w:t>Mechanism in first paragraph below can add considerable cost but may also reduce wear and maintenance costs and prolong life of moving walk. Delete if belt-type treadways are exclusively specified.</w:t>
      </w:r>
    </w:p>
    <w:p>
      <w:pPr>
        <w:pStyle w:val="PR1"/>
        <w:numPr>
          <w:ilvl w:val="4"/>
          <w:numId w:val="1"/>
        </w:numPr>
        <w:ind w:hanging="0" w:left="0"/>
        <w:rPr/>
      </w:pPr>
      <w:r>
        <w:rPr/>
        <w:t>Equip pallet drive mechanism with automatic pallet drive-chain lubricators.</w:t>
      </w:r>
    </w:p>
    <w:p>
      <w:pPr>
        <w:pStyle w:val="PR1"/>
        <w:numPr>
          <w:ilvl w:val="4"/>
          <w:numId w:val="1"/>
        </w:numPr>
        <w:ind w:hanging="0" w:left="0"/>
        <w:rPr/>
      </w:pPr>
      <w:r>
        <w:rPr/>
        <w:t xml:space="preserve">Oil Drip Pan: Provide metal pan under full width and length of moving walks to collect and hold oil and grease drippings from lubricated components. Design and fabricate drip pan to sustain a load of </w:t>
      </w:r>
      <w:r>
        <w:rPr>
          <w:rStyle w:val="IP"/>
        </w:rPr>
        <w:t>250 lbf</w:t>
      </w:r>
      <w:r>
        <w:rPr>
          <w:rStyle w:val="SI"/>
        </w:rPr>
        <w:t xml:space="preserve"> (1.1 kN)</w:t>
      </w:r>
      <w:r>
        <w:rPr/>
        <w:t xml:space="preserve"> on a </w:t>
      </w:r>
      <w:r>
        <w:rPr>
          <w:rStyle w:val="IP"/>
        </w:rPr>
        <w:t>1.0-sq. ft.</w:t>
      </w:r>
      <w:r>
        <w:rPr>
          <w:rStyle w:val="SI"/>
        </w:rPr>
        <w:t xml:space="preserve"> (0.09-sq. m)</w:t>
      </w:r>
      <w:r>
        <w:rPr/>
        <w:t xml:space="preserve"> area at any location without permanent deflection.</w:t>
      </w:r>
    </w:p>
    <w:p>
      <w:pPr>
        <w:pStyle w:val="CMT"/>
        <w:rPr/>
      </w:pPr>
      <w:r>
        <w:rPr/>
        <w:t>Retain one of two "Comb-Step Impact Device" paragraphs below. First is a requirement in ASME A17.1/CSA B44. Second is a more stringent requirement that was included in ASME A17.1/CSA B44 until 2000 Addenda changed required forces. See the Evaluations.</w:t>
      </w:r>
    </w:p>
    <w:p>
      <w:pPr>
        <w:pStyle w:val="PR1"/>
        <w:numPr>
          <w:ilvl w:val="4"/>
          <w:numId w:val="1"/>
        </w:numPr>
        <w:ind w:hanging="0" w:left="0"/>
        <w:rPr/>
      </w:pPr>
      <w:r>
        <w:rPr/>
        <w:t xml:space="preserve">Comb-Step Impact Device: Activated if a horizontal force in direction of travel is applied exceeding </w:t>
      </w:r>
      <w:r>
        <w:rPr>
          <w:rStyle w:val="IP"/>
        </w:rPr>
        <w:t>400 lbf</w:t>
      </w:r>
      <w:r>
        <w:rPr>
          <w:rStyle w:val="SI"/>
        </w:rPr>
        <w:t xml:space="preserve"> (1780 N)</w:t>
      </w:r>
      <w:r>
        <w:rPr/>
        <w:t xml:space="preserve"> at either side or exceeding </w:t>
      </w:r>
      <w:r>
        <w:rPr>
          <w:rStyle w:val="IP"/>
        </w:rPr>
        <w:t>800 lbf</w:t>
      </w:r>
      <w:r>
        <w:rPr>
          <w:rStyle w:val="SI"/>
        </w:rPr>
        <w:t xml:space="preserve"> (3560 N)</w:t>
      </w:r>
      <w:r>
        <w:rPr/>
        <w:t xml:space="preserve"> at center of front edge of combplate, or a resultant force in upward direction is applied exceeding </w:t>
      </w:r>
      <w:r>
        <w:rPr>
          <w:rStyle w:val="IP"/>
        </w:rPr>
        <w:t>150 lbf</w:t>
      </w:r>
      <w:r>
        <w:rPr>
          <w:rStyle w:val="SI"/>
        </w:rPr>
        <w:t xml:space="preserve"> (688 N)</w:t>
      </w:r>
      <w:r>
        <w:rPr/>
        <w:t xml:space="preserve"> at center of front edge of combplate.</w:t>
      </w:r>
    </w:p>
    <w:p>
      <w:pPr>
        <w:pStyle w:val="PR1"/>
        <w:numPr>
          <w:ilvl w:val="4"/>
          <w:numId w:val="1"/>
        </w:numPr>
        <w:ind w:hanging="0" w:left="0"/>
        <w:rPr/>
      </w:pPr>
      <w:r>
        <w:rPr/>
        <w:t xml:space="preserve">Comb-Step Impact Device: Activated if a horizontal force in direction of travel is applied exceeding </w:t>
      </w:r>
      <w:r>
        <w:rPr>
          <w:rStyle w:val="IP"/>
        </w:rPr>
        <w:t>112 lbf</w:t>
      </w:r>
      <w:r>
        <w:rPr>
          <w:rStyle w:val="SI"/>
        </w:rPr>
        <w:t xml:space="preserve"> (500 N)</w:t>
      </w:r>
      <w:r>
        <w:rPr/>
        <w:t xml:space="preserve"> at either side or exceeding </w:t>
      </w:r>
      <w:r>
        <w:rPr>
          <w:rStyle w:val="IP"/>
        </w:rPr>
        <w:t>225 lbf</w:t>
      </w:r>
      <w:r>
        <w:rPr>
          <w:rStyle w:val="SI"/>
        </w:rPr>
        <w:t xml:space="preserve"> (1000 N)</w:t>
      </w:r>
      <w:r>
        <w:rPr/>
        <w:t xml:space="preserve"> at center of front edge of combplate, or a resultant force in upward direction is applied exceeding </w:t>
      </w:r>
      <w:r>
        <w:rPr>
          <w:rStyle w:val="IP"/>
        </w:rPr>
        <w:t>150 lbf</w:t>
      </w:r>
      <w:r>
        <w:rPr>
          <w:rStyle w:val="SI"/>
        </w:rPr>
        <w:t xml:space="preserve"> (688 N)</w:t>
      </w:r>
      <w:r>
        <w:rPr/>
        <w:t xml:space="preserve"> at center of front edge of combplate.</w:t>
      </w:r>
    </w:p>
    <w:p>
      <w:pPr>
        <w:pStyle w:val="ART"/>
        <w:numPr>
          <w:ilvl w:val="3"/>
          <w:numId w:val="1"/>
        </w:numPr>
        <w:ind w:hanging="0" w:left="0"/>
        <w:rPr/>
      </w:pPr>
      <w:r>
        <w:rPr/>
        <w:t>EXTERIOR MOVING WALKS</w:t>
      </w:r>
    </w:p>
    <w:p>
      <w:pPr>
        <w:pStyle w:val="CMT"/>
        <w:rPr/>
      </w:pPr>
      <w:r>
        <w:rPr/>
        <w:t>Revise this article to suit local climate and exposure conditions. Indicate on Drawings which moving walks are exterior.</w:t>
      </w:r>
    </w:p>
    <w:p>
      <w:pPr>
        <w:pStyle w:val="CMT"/>
        <w:rPr/>
      </w:pPr>
      <w:r>
        <w:rPr/>
        <w:t>Usually retain first option in first paragraph below.</w:t>
      </w:r>
    </w:p>
    <w:p>
      <w:pPr>
        <w:pStyle w:val="PR1"/>
        <w:numPr>
          <w:ilvl w:val="4"/>
          <w:numId w:val="1"/>
        </w:numPr>
        <w:ind w:hanging="0" w:left="0"/>
        <w:rPr/>
      </w:pPr>
      <w:r>
        <w:rPr/>
        <w:t>Fabricate exposed components from [</w:t>
      </w:r>
      <w:r>
        <w:rPr>
          <w:b/>
        </w:rPr>
        <w:t>stainless steel</w:t>
      </w:r>
      <w:r>
        <w:rPr/>
        <w:t>] [</w:t>
      </w:r>
      <w:r>
        <w:rPr>
          <w:b/>
        </w:rPr>
        <w:t>bronze</w:t>
      </w:r>
      <w:r>
        <w:rPr/>
        <w:t>] unless otherwise indicated.</w:t>
      </w:r>
    </w:p>
    <w:p>
      <w:pPr>
        <w:pStyle w:val="PR1"/>
        <w:numPr>
          <w:ilvl w:val="4"/>
          <w:numId w:val="1"/>
        </w:numPr>
        <w:ind w:hanging="0" w:left="0"/>
        <w:rPr/>
      </w:pPr>
      <w:r>
        <w:rPr/>
        <w:t>Hot-dip galvanize moving walk structural components to comply with ASTM A123/A123M. Use only stainless-steel or zinc-plated fasteners for moving walk component assembly.</w:t>
      </w:r>
    </w:p>
    <w:p>
      <w:pPr>
        <w:pStyle w:val="PR1"/>
        <w:numPr>
          <w:ilvl w:val="4"/>
          <w:numId w:val="1"/>
        </w:numPr>
        <w:ind w:hanging="0" w:left="0"/>
        <w:rPr/>
      </w:pPr>
      <w:r>
        <w:rPr/>
        <w:t>Fabricate oil drip pan from galvanized-steel sheet. Provide drain and oil/water separator in oil drip pan.</w:t>
      </w:r>
    </w:p>
    <w:p>
      <w:pPr>
        <w:pStyle w:val="PR1"/>
        <w:numPr>
          <w:ilvl w:val="4"/>
          <w:numId w:val="1"/>
        </w:numPr>
        <w:ind w:hanging="0" w:left="0"/>
        <w:rPr/>
      </w:pPr>
      <w:r>
        <w:rPr/>
        <w:t>Provide drains, weeps, and drips to prevent water accumulation on horizontal surfaces and to direct water away from electrical equipment and moving parts.</w:t>
      </w:r>
    </w:p>
    <w:p>
      <w:pPr>
        <w:pStyle w:val="PR1"/>
        <w:numPr>
          <w:ilvl w:val="4"/>
          <w:numId w:val="1"/>
        </w:numPr>
        <w:ind w:hanging="0" w:left="0"/>
        <w:rPr/>
      </w:pPr>
      <w:r>
        <w:rPr/>
        <w:t>Provide enclosures complying with NEMA 250, Type 4 for electrical connections, switches, and equipment.</w:t>
      </w:r>
    </w:p>
    <w:p>
      <w:pPr>
        <w:pStyle w:val="PR1"/>
        <w:numPr>
          <w:ilvl w:val="4"/>
          <w:numId w:val="1"/>
        </w:numPr>
        <w:ind w:hanging="0" w:left="0"/>
        <w:rPr/>
      </w:pPr>
      <w:r>
        <w:rPr/>
        <w:t>Provide totally enclosed fan-cooled motors complying with NEMA MG 1, Insulation Class B.</w:t>
      </w:r>
    </w:p>
    <w:p>
      <w:pPr>
        <w:pStyle w:val="CMT"/>
        <w:rPr/>
      </w:pPr>
      <w:r>
        <w:rPr/>
        <w:t>Delete first paragraph below if belt-type treadways are exclusively specified or if retaining automatic pallet drive-chain lubricators in "Features" Article.</w:t>
      </w:r>
    </w:p>
    <w:p>
      <w:pPr>
        <w:pStyle w:val="PR1"/>
        <w:numPr>
          <w:ilvl w:val="4"/>
          <w:numId w:val="1"/>
        </w:numPr>
        <w:ind w:hanging="0" w:left="0"/>
        <w:rPr/>
      </w:pPr>
      <w:r>
        <w:rPr/>
        <w:t>Equip pallet drive mechanism with automatic pallet drive-chain lubricators.</w:t>
      </w:r>
    </w:p>
    <w:p>
      <w:pPr>
        <w:pStyle w:val="CMT"/>
        <w:rPr/>
      </w:pPr>
      <w:r>
        <w:rPr/>
        <w:t>Delete first paragraph below if heat is considered unnecessary due to local climate.</w:t>
      </w:r>
    </w:p>
    <w:p>
      <w:pPr>
        <w:pStyle w:val="PR1"/>
        <w:numPr>
          <w:ilvl w:val="4"/>
          <w:numId w:val="1"/>
        </w:numPr>
        <w:ind w:hanging="0" w:left="0"/>
        <w:rPr/>
      </w:pPr>
      <w:r>
        <w:rPr/>
        <w:t xml:space="preserve">Provide electric heaters with integral thermostats in moving walk truss space to maintain temperature above </w:t>
      </w:r>
      <w:r>
        <w:rPr>
          <w:rStyle w:val="IP"/>
        </w:rPr>
        <w:t>40 deg F</w:t>
      </w:r>
      <w:r>
        <w:rPr>
          <w:rStyle w:val="SI"/>
        </w:rPr>
        <w:t xml:space="preserve"> (4.4 deg C)</w:t>
      </w:r>
      <w:r>
        <w:rPr/>
        <w:t>.</w:t>
      </w:r>
    </w:p>
    <w:p>
      <w:pPr>
        <w:pStyle w:val="CMT"/>
        <w:rPr/>
      </w:pPr>
      <w:r>
        <w:rPr/>
        <w:t>Delete paragraph below if heat in last paragraph above is sufficient or is considered unnecessary due to local climate.</w:t>
      </w:r>
    </w:p>
    <w:p>
      <w:pPr>
        <w:pStyle w:val="PR1"/>
        <w:numPr>
          <w:ilvl w:val="4"/>
          <w:numId w:val="1"/>
        </w:numPr>
        <w:ind w:hanging="0" w:left="0"/>
        <w:rPr/>
      </w:pPr>
      <w:r>
        <w:rPr/>
        <w:t>Equip combplates with 400-W electric heaters to prevent ice and snow accumulation.</w:t>
      </w:r>
    </w:p>
    <w:p>
      <w:pPr>
        <w:pStyle w:val="ART"/>
        <w:numPr>
          <w:ilvl w:val="3"/>
          <w:numId w:val="1"/>
        </w:numPr>
        <w:ind w:hanging="0" w:left="0"/>
        <w:rPr/>
      </w:pPr>
      <w:r>
        <w:rPr/>
        <w:t>MATERIALS</w:t>
      </w:r>
    </w:p>
    <w:p>
      <w:pPr>
        <w:pStyle w:val="PR1"/>
        <w:numPr>
          <w:ilvl w:val="4"/>
          <w:numId w:val="1"/>
        </w:numPr>
        <w:ind w:hanging="0" w:left="0"/>
        <w:rPr/>
      </w:pPr>
      <w:r>
        <w:rPr/>
        <w:t>Stainless Steel: ASTM A240/A240M, [</w:t>
      </w:r>
      <w:r>
        <w:rPr>
          <w:b/>
        </w:rPr>
        <w:t>Type 304</w:t>
      </w:r>
      <w:r>
        <w:rPr/>
        <w:t>] [</w:t>
      </w:r>
      <w:r>
        <w:rPr>
          <w:b/>
        </w:rPr>
        <w:t>Type 316</w:t>
      </w:r>
      <w:r>
        <w:rPr/>
        <w:t>] [</w:t>
      </w:r>
      <w:r>
        <w:rPr>
          <w:b/>
        </w:rPr>
        <w:t>Type 304, except use Type 316 for exterior moving walks</w:t>
      </w:r>
      <w:r>
        <w:rPr/>
        <w:t>].</w:t>
      </w:r>
    </w:p>
    <w:p>
      <w:pPr>
        <w:pStyle w:val="CMT"/>
        <w:rPr/>
      </w:pPr>
      <w:r>
        <w:rPr/>
        <w:t>Usually retain "Satin Finish" Subparagraph below.</w:t>
      </w:r>
    </w:p>
    <w:p>
      <w:pPr>
        <w:pStyle w:val="PR2"/>
        <w:numPr>
          <w:ilvl w:val="5"/>
          <w:numId w:val="1"/>
        </w:numPr>
        <w:spacing w:before="240" w:after="0"/>
        <w:ind w:hanging="0" w:left="0"/>
        <w:rPr/>
      </w:pPr>
      <w:r>
        <w:rPr/>
        <w:t>Satin Finish: No. 4 directional satin.</w:t>
      </w:r>
    </w:p>
    <w:p>
      <w:pPr>
        <w:pStyle w:val="PR2"/>
        <w:numPr>
          <w:ilvl w:val="5"/>
          <w:numId w:val="1"/>
        </w:numPr>
        <w:ind w:hanging="0" w:left="0"/>
        <w:rPr/>
      </w:pPr>
      <w:r>
        <w:rPr/>
        <w:t>Polished Finish: No. 8 mirror polish.</w:t>
      </w:r>
    </w:p>
    <w:p>
      <w:pPr>
        <w:pStyle w:val="CMT"/>
        <w:rPr/>
      </w:pPr>
      <w:r>
        <w:rPr/>
        <w:t>Revise "Satin Bronze Sheet" and "Satin Bronze Extrusions" paragraphs below if oxidized finish is needed.</w:t>
      </w:r>
    </w:p>
    <w:p>
      <w:pPr>
        <w:pStyle w:val="PR1"/>
        <w:numPr>
          <w:ilvl w:val="4"/>
          <w:numId w:val="1"/>
        </w:numPr>
        <w:ind w:hanging="0" w:left="0"/>
        <w:rPr/>
      </w:pPr>
      <w:r>
        <w:rPr/>
        <w:t>Satin Bronze Sheet: ASTM B36/B36M, Alloy UNS No. C28000 (muntz metal), fine satin finish, lacquered.</w:t>
      </w:r>
    </w:p>
    <w:p>
      <w:pPr>
        <w:pStyle w:val="PR1"/>
        <w:numPr>
          <w:ilvl w:val="4"/>
          <w:numId w:val="1"/>
        </w:numPr>
        <w:ind w:hanging="0" w:left="0"/>
        <w:rPr/>
      </w:pPr>
      <w:r>
        <w:rPr/>
        <w:t>Satin Bronze Extrusions: ASTM B455, Alloy UNS No. C38500 (architectural bronze), fine satin finish, lacquered.</w:t>
      </w:r>
    </w:p>
    <w:p>
      <w:pPr>
        <w:pStyle w:val="CMT"/>
        <w:rPr/>
      </w:pPr>
      <w:r>
        <w:rPr/>
        <w:t>Retain "Steel Sheet" Paragraph below if specifying PTFE-coated steel skirt panels.</w:t>
      </w:r>
    </w:p>
    <w:p>
      <w:pPr>
        <w:pStyle w:val="PR1"/>
        <w:numPr>
          <w:ilvl w:val="4"/>
          <w:numId w:val="1"/>
        </w:numPr>
        <w:ind w:hanging="0" w:left="0"/>
        <w:rPr/>
      </w:pPr>
      <w:r>
        <w:rPr/>
        <w:t>Steel Sheet: Cold-rolled steel sheet, ASTM A1008/A1008M, commercial steel, Type B, exposed, matte finish.</w:t>
      </w:r>
    </w:p>
    <w:p>
      <w:pPr>
        <w:pStyle w:val="CMT"/>
        <w:rPr/>
      </w:pPr>
      <w:r>
        <w:rPr/>
        <w:t>Insert other prime exposed-finish materials, if required, such as anodized aluminum, plastic laminate, and so forth.</w:t>
      </w:r>
    </w:p>
    <w:p>
      <w:pPr>
        <w:pStyle w:val="PR1"/>
        <w:numPr>
          <w:ilvl w:val="4"/>
          <w:numId w:val="1"/>
        </w:numPr>
        <w:ind w:hanging="0" w:left="0"/>
        <w:rPr/>
      </w:pPr>
      <w:r>
        <w:rPr/>
        <w:t>Clear Tempered Glass: ASTM C1048, Condition A (uncoated surfaces), Type 1 (transparent glass, flat), Class 1 (clear), Quality q3 (glazing, select), Kind FT (fully tempered), [</w:t>
      </w:r>
      <w:r>
        <w:rPr>
          <w:b/>
        </w:rPr>
        <w:t>10.0</w:t>
      </w:r>
      <w:r>
        <w:rPr/>
        <w:t>] [</w:t>
      </w:r>
      <w:r>
        <w:rPr>
          <w:b/>
        </w:rPr>
        <w:t>12.0</w:t>
      </w:r>
      <w:r>
        <w:rPr/>
        <w:t>] mm thick.</w:t>
      </w:r>
    </w:p>
    <w:p>
      <w:pPr>
        <w:pStyle w:val="PR1"/>
        <w:numPr>
          <w:ilvl w:val="4"/>
          <w:numId w:val="1"/>
        </w:numPr>
        <w:ind w:hanging="0" w:left="0"/>
        <w:rPr/>
      </w:pPr>
      <w:r>
        <w:rPr/>
        <w:t>Tinted Tempered Glass: ASTM C1048, Condition A (uncoated surfaces), Type 1 (transparent glass, flat), Class 2 (tinted), Quality q3 (glazing, select), Kind FT (fully tempered), [</w:t>
      </w:r>
      <w:r>
        <w:rPr>
          <w:b/>
        </w:rPr>
        <w:t>10.0</w:t>
      </w:r>
      <w:r>
        <w:rPr/>
        <w:t>] [</w:t>
      </w:r>
      <w:r>
        <w:rPr>
          <w:b/>
        </w:rPr>
        <w:t>12.0</w:t>
      </w:r>
      <w:r>
        <w:rPr/>
        <w:t>] mm thick.</w:t>
      </w:r>
    </w:p>
    <w:p>
      <w:pPr>
        <w:pStyle w:val="PR2"/>
        <w:numPr>
          <w:ilvl w:val="5"/>
          <w:numId w:val="1"/>
        </w:numPr>
        <w:spacing w:before="240" w:after="0"/>
        <w:ind w:hanging="0" w:left="0"/>
        <w:rPr/>
      </w:pPr>
      <w:r>
        <w:rPr/>
        <w:t>Color: [</w:t>
      </w:r>
      <w:r>
        <w:rPr>
          <w:b/>
        </w:rPr>
        <w:t>Bronze</w:t>
      </w:r>
      <w:r>
        <w:rPr/>
        <w:t>] [</w:t>
      </w:r>
      <w:r>
        <w:rPr>
          <w:b/>
        </w:rPr>
        <w:t>Gray</w:t>
      </w:r>
      <w:r>
        <w:rPr/>
        <w:t>] [</w:t>
      </w:r>
      <w:r>
        <w:rPr>
          <w:b/>
        </w:rPr>
        <w:t>Green</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moving walk areas, with Installer present, for compliance with requirements for installation tolerances and other conditions affecting performance of the Work. Examine supporting structure, machine spaces, and pits; verify critical dimensions; and examine conditions under which moving walks are to be installed.</w:t>
      </w:r>
    </w:p>
    <w:p>
      <w:pPr>
        <w:pStyle w:val="PR1"/>
        <w:numPr>
          <w:ilvl w:val="4"/>
          <w:numId w:val="1"/>
        </w:numPr>
        <w:ind w:hanging="0" w:left="0"/>
        <w:rPr/>
      </w:pPr>
      <w:r>
        <w:rPr/>
        <w:t>Prepare written report, endorsed by Installer, listing conditions detrimental to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Comply with manufacturer's written instructions.</w:t>
      </w:r>
    </w:p>
    <w:p>
      <w:pPr>
        <w:pStyle w:val="PR1"/>
        <w:numPr>
          <w:ilvl w:val="4"/>
          <w:numId w:val="1"/>
        </w:numPr>
        <w:ind w:hanging="0" w:left="0"/>
        <w:rPr/>
      </w:pPr>
      <w:r>
        <w:rPr/>
        <w:t>Set moving walks true to line and level[</w:t>
      </w:r>
      <w:r>
        <w:rPr>
          <w:b/>
        </w:rPr>
        <w:t>, or to indicated slope</w:t>
      </w:r>
      <w:r>
        <w:rPr/>
        <w:t>], properly supported, and anchored to building structure. Use established benchmarks, lines, and levels to ensure dimensional coordination of the Work.</w:t>
      </w:r>
    </w:p>
    <w:p>
      <w:pPr>
        <w:pStyle w:val="PR1"/>
        <w:numPr>
          <w:ilvl w:val="4"/>
          <w:numId w:val="1"/>
        </w:numPr>
        <w:ind w:hanging="0" w:left="0"/>
        <w:rPr/>
      </w:pPr>
      <w:r>
        <w:rPr/>
        <w:t>Adjust installed components for smooth, efficient operation, complying with required tolerances and free of hazardous conditions. Lubricate operating parts, including bearings, tracks, chains, guides, and hardware. Test operating devices, equipment, signals, controls, and safety devices. Install oil drip pans and verify that no oil drips outside of pans.</w:t>
      </w:r>
    </w:p>
    <w:p>
      <w:pPr>
        <w:pStyle w:val="PR1"/>
        <w:numPr>
          <w:ilvl w:val="4"/>
          <w:numId w:val="1"/>
        </w:numPr>
        <w:ind w:hanging="0" w:left="0"/>
        <w:rPr/>
      </w:pPr>
      <w:r>
        <w:rPr/>
        <w:t>Repair damaged finishes so no evidence remains of correction work. Return items to the shop that cannot be refinished in the field, make required repairs and refinish entire unit, or provide new units as required.</w:t>
      </w:r>
    </w:p>
    <w:p>
      <w:pPr>
        <w:pStyle w:val="ART"/>
        <w:numPr>
          <w:ilvl w:val="3"/>
          <w:numId w:val="1"/>
        </w:numPr>
        <w:ind w:hanging="0" w:left="0"/>
        <w:rPr/>
      </w:pPr>
      <w:r>
        <w:rPr/>
        <w:t>FIELD QUALITY CONTROL</w:t>
      </w:r>
    </w:p>
    <w:p>
      <w:pPr>
        <w:pStyle w:val="PR1"/>
        <w:numPr>
          <w:ilvl w:val="4"/>
          <w:numId w:val="1"/>
        </w:numPr>
        <w:ind w:hanging="0" w:left="0"/>
        <w:rPr/>
      </w:pPr>
      <w:r>
        <w:rPr/>
        <w:t>Acceptance Testing: On completion of moving walk installation and before permitting moving walk use, perform acceptance tests as required and recommended by ASME A17.1/CSA B44 and by authorities having jurisdiction.</w:t>
      </w:r>
    </w:p>
    <w:p>
      <w:pPr>
        <w:pStyle w:val="PR2"/>
        <w:numPr>
          <w:ilvl w:val="5"/>
          <w:numId w:val="1"/>
        </w:numPr>
        <w:spacing w:before="240" w:after="0"/>
        <w:ind w:hanging="0" w:left="0"/>
        <w:rPr/>
      </w:pPr>
      <w:r>
        <w:rPr/>
        <w:t>For moving walks specified to comply with requirements more stringent than those of ASME A17.1/CSA B44, perform tests for compliance with specified requirements.</w:t>
      </w:r>
    </w:p>
    <w:p>
      <w:pPr>
        <w:pStyle w:val="PR1"/>
        <w:numPr>
          <w:ilvl w:val="4"/>
          <w:numId w:val="1"/>
        </w:numPr>
        <w:ind w:hanging="0" w:left="0"/>
        <w:rPr/>
      </w:pPr>
      <w:r>
        <w:rPr/>
        <w:t>Advise Owner, Architect, and authorities having jurisdiction in advance of dates and times that tests are to be performed.</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operate[</w:t>
      </w:r>
      <w:r>
        <w:rPr>
          <w:b/>
        </w:rPr>
        <w:t>, adjust, and maintain</w:t>
      </w:r>
      <w:r>
        <w:rPr/>
        <w:t>] moving walks.</w:t>
      </w:r>
    </w:p>
    <w:p>
      <w:pPr>
        <w:pStyle w:val="PR1"/>
        <w:numPr>
          <w:ilvl w:val="4"/>
          <w:numId w:val="1"/>
        </w:numPr>
        <w:ind w:hanging="0" w:left="0"/>
        <w:rPr/>
      </w:pPr>
      <w:r>
        <w:rPr/>
        <w:t>Check operation of moving walks with Owner's personnel present before date of Substantial Completion[</w:t>
      </w:r>
      <w:r>
        <w:rPr>
          <w:b/>
        </w:rPr>
        <w:t> and again not more than one month before end of warranty period</w:t>
      </w:r>
      <w:r>
        <w:rPr/>
        <w:t>]. Determine that operation systems and devices are functioning properly.</w:t>
      </w:r>
    </w:p>
    <w:p>
      <w:pPr>
        <w:pStyle w:val="ART"/>
        <w:numPr>
          <w:ilvl w:val="3"/>
          <w:numId w:val="1"/>
        </w:numPr>
        <w:ind w:hanging="0" w:left="0"/>
        <w:rPr/>
      </w:pPr>
      <w:r>
        <w:rPr/>
        <w:t>MAINTENANCE</w:t>
      </w:r>
    </w:p>
    <w:p>
      <w:pPr>
        <w:pStyle w:val="CMT"/>
        <w:rPr/>
      </w:pPr>
      <w:r>
        <w:rPr/>
        <w:t>To avoid problems, initial maintenance service and warranty should run concurrently. Manufacturer's warranties typically cover only the cost of parts; "Initial Maintenance Service" Paragraph below covers the labor cost to replace defective, damaged, or worn parts as well as routine maintenance. Insert time period; 3 to 12 months is typical.</w:t>
      </w:r>
    </w:p>
    <w:p>
      <w:pPr>
        <w:pStyle w:val="CMT"/>
        <w:rPr/>
      </w:pPr>
      <w:r>
        <w:rPr/>
        <w:t>Verify with Owner that maintenance service is required for Project.</w:t>
      </w:r>
    </w:p>
    <w:p>
      <w:pPr>
        <w:pStyle w:val="PR1"/>
        <w:numPr>
          <w:ilvl w:val="4"/>
          <w:numId w:val="1"/>
        </w:numPr>
        <w:ind w:hanging="0" w:left="0"/>
        <w:rPr/>
      </w:pPr>
      <w:r>
        <w:rPr/>
        <w:t>Initial Maintenance Service: Beginning at Substantial Completion, maintenance service shall include &lt;</w:t>
      </w:r>
      <w:r>
        <w:rPr>
          <w:b/>
        </w:rPr>
        <w:t>Insert number</w:t>
      </w:r>
      <w:r>
        <w:rPr/>
        <w:t>&gt; months' full maintenance by skilled employees of moving walk Installer. Include monthly preventive maintenance, repair or replacement of worn or defective components, lubrication, cleaning, and adjusting as required for proper moving walk operation at rated speed and capacity. Parts and supplies shall be manufacturer's authorized replacement parts and supplies.</w:t>
      </w:r>
    </w:p>
    <w:p>
      <w:pPr>
        <w:pStyle w:val="PR2"/>
        <w:numPr>
          <w:ilvl w:val="5"/>
          <w:numId w:val="1"/>
        </w:numPr>
        <w:spacing w:before="240" w:after="0"/>
        <w:ind w:hanging="0" w:left="0"/>
        <w:rPr/>
      </w:pPr>
      <w:r>
        <w:rPr/>
        <w:t>Perform maintenance during normal working hours.</w:t>
      </w:r>
    </w:p>
    <w:p>
      <w:pPr>
        <w:pStyle w:val="CMT"/>
        <w:rPr/>
      </w:pPr>
      <w:r>
        <w:rPr/>
        <w:t>Retain one of two subparagraphs below. Second subparagraph can add appreciable cost to continuing service contract but may not add much cost for initial maintenance service. Revise response time to one hour for metropolitan areas, or revise to more than two hours for remote locations.</w:t>
      </w:r>
    </w:p>
    <w:p>
      <w:pPr>
        <w:pStyle w:val="PR2"/>
        <w:numPr>
          <w:ilvl w:val="5"/>
          <w:numId w:val="1"/>
        </w:numPr>
        <w:ind w:hanging="0" w:left="0"/>
        <w:rPr/>
      </w:pPr>
      <w:r>
        <w:rPr/>
        <w:t>Perform emergency callback service during normal working hours with response time of [</w:t>
      </w:r>
      <w:r>
        <w:rPr>
          <w:b/>
        </w:rPr>
        <w:t>two</w:t>
      </w:r>
      <w:r>
        <w:rPr/>
        <w:t>] &lt;</w:t>
      </w:r>
      <w:r>
        <w:rPr>
          <w:b/>
        </w:rPr>
        <w:t>Insert number</w:t>
      </w:r>
      <w:r>
        <w:rPr/>
        <w:t>&gt; hours or less.</w:t>
      </w:r>
    </w:p>
    <w:p>
      <w:pPr>
        <w:pStyle w:val="PR2"/>
        <w:numPr>
          <w:ilvl w:val="5"/>
          <w:numId w:val="1"/>
        </w:numPr>
        <w:ind w:hanging="0" w:left="0"/>
        <w:rPr/>
      </w:pPr>
      <w:r>
        <w:rPr/>
        <w:t>Include 24-hour-per-day, 7-day-per-week emergency callback service with response time of [</w:t>
      </w:r>
      <w:r>
        <w:rPr>
          <w:b/>
        </w:rPr>
        <w:t>2</w:t>
      </w:r>
      <w:r>
        <w:rPr/>
        <w:t>] &lt;</w:t>
      </w:r>
      <w:r>
        <w:rPr>
          <w:b/>
        </w:rPr>
        <w:t>Insert number</w:t>
      </w:r>
      <w:r>
        <w:rPr/>
        <w:t>&gt; hours or less.</w:t>
      </w:r>
    </w:p>
    <w:p>
      <w:pPr>
        <w:pStyle w:val="EOS"/>
        <w:rPr/>
      </w:pPr>
      <w:r>
        <w:rPr/>
        <w:t>END OF SECTION 143200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MOVING WALKS</w:t>
          </w:r>
        </w:p>
      </w:tc>
      <w:tc>
        <w:tcPr>
          <w:tcW w:w="1872" w:type="dxa"/>
          <w:tcBorders/>
        </w:tcPr>
        <w:p>
          <w:pPr>
            <w:pStyle w:val="RJUST"/>
            <w:rPr/>
          </w:pPr>
          <w:r>
            <w:rPr>
              <w:rStyle w:val="NUM"/>
            </w:rPr>
            <w:t>143200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143200"/>
    <w:docVar w:name="MF95" w:val="14320"/>
    <w:docVar w:name="MFOrigin" w:val="MF04"/>
    <w:docVar w:name="SectionID" w:val="421"/>
    <w:docVar w:name="SpecType" w:val="MasterSpec"/>
    <w:docVar w:name="Version" w:val="132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3200&amp;ver=12-01-16&amp;format=FL&amp;sid=13292&amp;utm_source=MasterSpec&amp;utm_medium=Word" TargetMode="External"/><Relationship Id="rId3" Type="http://schemas.openxmlformats.org/officeDocument/2006/relationships/hyperlink" Target="http://www.specagent.com/LookUp/?ulid=5475&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2022-09-26T02:44:00Z</dcterms:created>
  <dc:creator>Deltek, Inc.</dc:creator>
  <dc:description/>
  <cp:keywords>BAS-12345-MS80</cp:keywords>
  <dc:language>zh-CN</dc:language>
  <cp:lastModifiedBy>Janice Nacional</cp:lastModifiedBy>
  <dcterms:modified xsi:type="dcterms:W3CDTF">2022-09-26T02:44:00Z</dcterms:modified>
  <cp:revision>2</cp:revision>
  <dc:subject>MOVING WALKS</dc:subject>
  <dc:title>SECTION 143200 - MOVING WALKS</dc:title>
</cp:coreProperties>
</file>