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235513.16</w:t>
      </w:r>
      <w:r>
        <w:rPr/>
        <w:t xml:space="preserve"> - </w:t>
      </w:r>
      <w:r>
        <w:rPr>
          <w:rStyle w:val="NAM"/>
        </w:rPr>
        <w:t>GAS-FIRED DUCT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qualify. Verify, with manufacturers, that the requirements can be met. To comply, HVAC system design alternatives that do not include duct heaters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gas-fired duct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gas-fired duct heater.</w:t>
      </w:r>
    </w:p>
    <w:p>
      <w:pPr>
        <w:pStyle w:val="PR2"/>
        <w:numPr>
          <w:ilvl w:val="5"/>
          <w:numId w:val="1"/>
        </w:numPr>
        <w:spacing w:before="240" w:after="0"/>
        <w:ind w:hanging="0" w:left="0"/>
        <w:rPr/>
      </w:pPr>
      <w:r>
        <w:rPr/>
        <w:t>Include rated capacities, operating characteristics,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CMT"/>
        <w:rPr/>
      </w:pPr>
      <w:r>
        <w:rPr/>
        <w:t>In "Shop Drawings" Paragraph below, retain option if equipment is required to withstand specific design loads and design responsibilities have been delegated to Contractor or if structural data are required as another way to verify equipment's compliance with performance requirements. Professional engineer qualifications are specified in Section 014000 "Quality Requirements."</w:t>
      </w:r>
    </w:p>
    <w:p>
      <w:pPr>
        <w:pStyle w:val="PR1"/>
        <w:numPr>
          <w:ilvl w:val="4"/>
          <w:numId w:val="1"/>
        </w:numPr>
        <w:ind w:hanging="0" w:left="0"/>
        <w:rPr/>
      </w:pPr>
      <w:r>
        <w:rPr/>
        <w:t>Shop Drawings: For gas-fired duct heaters[</w:t>
      </w:r>
      <w:r>
        <w:rPr>
          <w:b/>
        </w:rPr>
        <w:t>; signed and sealed by a qualified professional engineer</w:t>
      </w:r>
      <w:r>
        <w:rPr/>
        <w:t>]. Include plans, elevations, sections, and attachment details.</w:t>
      </w:r>
    </w:p>
    <w:p>
      <w:pPr>
        <w:pStyle w:val="PR2"/>
        <w:numPr>
          <w:ilvl w:val="5"/>
          <w:numId w:val="1"/>
        </w:numPr>
        <w:spacing w:before="240" w:after="0"/>
        <w:ind w:hanging="0" w:left="0"/>
        <w:rPr/>
      </w:pPr>
      <w:r>
        <w:rPr/>
        <w:t>Prepare by or under the supervision of a qualified professional engineer detailing fabrication and assembly of gas-fired duct heaters, as well as procedures and diagrams.</w:t>
      </w:r>
    </w:p>
    <w:p>
      <w:pPr>
        <w:pStyle w:val="PR2"/>
        <w:numPr>
          <w:ilvl w:val="5"/>
          <w:numId w:val="1"/>
        </w:numPr>
        <w:ind w:hanging="0" w:left="0"/>
        <w:rPr/>
      </w:pPr>
      <w:r>
        <w:rPr/>
        <w:t>Design Calculations: Calculate requirements for selecting vibration isolators[</w:t>
      </w:r>
      <w:r>
        <w:rPr>
          <w:b/>
        </w:rPr>
        <w:t> and seismic restraints</w:t>
      </w:r>
      <w:r>
        <w:rPr/>
        <w:t>] and for designing vibration isolation bases.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CMT"/>
        <w:rPr/>
      </w:pPr>
      <w:r>
        <w:rPr/>
        <w:t>Retain subparagraph below if thermostat is specified in this Section; delete if thermostats for these units are specified in Section 230923.27 "Temperature Instruments."</w:t>
      </w:r>
    </w:p>
    <w:p>
      <w:pPr>
        <w:pStyle w:val="PR2"/>
        <w:numPr>
          <w:ilvl w:val="5"/>
          <w:numId w:val="1"/>
        </w:numPr>
        <w:ind w:hanging="0" w:left="0"/>
        <w:rPr/>
      </w:pPr>
      <w:r>
        <w:rPr/>
        <w:t>Include diagrams for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equipment will be attached.</w:t>
      </w:r>
    </w:p>
    <w:p>
      <w:pPr>
        <w:pStyle w:val="PR2"/>
        <w:numPr>
          <w:ilvl w:val="5"/>
          <w:numId w:val="1"/>
        </w:numPr>
        <w:ind w:hanging="0" w:left="0"/>
        <w:rPr/>
      </w:pPr>
      <w:r>
        <w:rPr/>
        <w:t>Items penetrating roof and the following:</w:t>
      </w:r>
    </w:p>
    <w:p>
      <w:pPr>
        <w:pStyle w:val="PR3"/>
        <w:numPr>
          <w:ilvl w:val="6"/>
          <w:numId w:val="1"/>
        </w:numPr>
        <w:spacing w:before="240" w:after="0"/>
        <w:ind w:hanging="0" w:left="0"/>
        <w:rPr/>
      </w:pPr>
      <w:r>
        <w:rPr/>
        <w:t>Duct, vent, and gas piping rough-ins and connections.</w:t>
      </w:r>
    </w:p>
    <w:p>
      <w:pPr>
        <w:pStyle w:val="PR3"/>
        <w:numPr>
          <w:ilvl w:val="6"/>
          <w:numId w:val="1"/>
        </w:numPr>
        <w:ind w:hanging="0" w:left="0"/>
        <w:rPr/>
      </w:pPr>
      <w:r>
        <w:rPr/>
        <w:t>&lt;</w:t>
      </w:r>
      <w:r>
        <w:rPr>
          <w:b/>
        </w:rPr>
        <w:t>Insert item</w:t>
      </w:r>
      <w:r>
        <w:rPr/>
        <w:t>&gt;.</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gas-fired duct heaters,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gas-fired duct heaters to include in emergency, operation, and maintenance manuals.</w:t>
      </w:r>
    </w:p>
    <w:p>
      <w:pPr>
        <w:pStyle w:val="ART"/>
        <w:numPr>
          <w:ilvl w:val="3"/>
          <w:numId w:val="1"/>
        </w:numPr>
        <w:ind w:hanging="0" w:left="0"/>
        <w:rPr/>
      </w:pPr>
      <w:r>
        <w:rPr/>
        <w:t>QUALITY ASSURANCE</w:t>
      </w:r>
    </w:p>
    <w:p>
      <w:pPr>
        <w:pStyle w:val="CMT"/>
        <w:rPr/>
      </w:pPr>
      <w:r>
        <w:rPr/>
        <w:t>Retain "ASHRAE/IES 90.1 Compliance" Paragraph below to require compliance with ASHRAE/IES 90.1. Sustainable design systems require compliance with ASHRAE/IES 90.1.</w:t>
      </w:r>
    </w:p>
    <w:p>
      <w:pPr>
        <w:pStyle w:val="PR1"/>
        <w:numPr>
          <w:ilvl w:val="4"/>
          <w:numId w:val="1"/>
        </w:numPr>
        <w:ind w:hanging="0" w:left="0"/>
        <w:rPr/>
      </w:pPr>
      <w:r>
        <w:rPr/>
        <w:t>ASHRAE/IES 90.1 Compliance: Applicable requirements in ASHRAE/IES 90.1, Section 6 - "Heating, Ventilating, and Air-Conditioning."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w:t>
      </w:r>
    </w:p>
    <w:p>
      <w:pPr>
        <w:pStyle w:val="PR1"/>
        <w:numPr>
          <w:ilvl w:val="4"/>
          <w:numId w:val="1"/>
        </w:numPr>
        <w:ind w:hanging="0" w:left="0"/>
        <w:rPr/>
      </w:pPr>
      <w:r>
        <w:rPr/>
        <w:t>Special Warranty: Manufacturer agrees to repair or replace heat exchanger of gas-fired duct heater that fails in materials or workmanship within specified warranty period.</w:t>
      </w:r>
    </w:p>
    <w:p>
      <w:pPr>
        <w:pStyle w:val="CMT"/>
        <w:rPr/>
      </w:pPr>
      <w:r>
        <w:rPr/>
        <w:t>Verify available warranties and warranty periods for units and components. Two-year warranty is applicable to aluminized heat exchangers; five-year warranty, to stainless-steel heat exchangers.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Gas-fired duct heaters shall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ind w:hanging="0" w:left="0"/>
        <w:rPr/>
      </w:pPr>
      <w:r>
        <w:rPr/>
        <w:t>Seismic Fabrication Requirements: Fabricate and reinforce suspension attachments of gas-fired duct heaters, accessories mountings, and components with reinforcement strong enough to withstand seismic forces defined in Section 230548 "Vibration and Seismic Controls for HVAC" when gas-fired duct heater is anchored to building structure.</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If Project has more than one type or configuration of gas-fired duct heater, delete "Capacities and Characteristics" Paragraph below and schedule duct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Heat Exchanger: [</w:t>
      </w:r>
      <w:r>
        <w:rPr>
          <w:b/>
        </w:rPr>
        <w:t>Aluminized</w:t>
      </w:r>
      <w:r>
        <w:rPr/>
        <w:t>] [</w:t>
      </w:r>
      <w:r>
        <w:rPr>
          <w:b/>
        </w:rPr>
        <w:t>Stainless</w:t>
      </w:r>
      <w:r>
        <w:rPr/>
        <w:t>] steel.</w:t>
      </w:r>
    </w:p>
    <w:p>
      <w:pPr>
        <w:pStyle w:val="PR2"/>
        <w:numPr>
          <w:ilvl w:val="5"/>
          <w:numId w:val="1"/>
        </w:numPr>
        <w:ind w:hanging="0" w:left="0"/>
        <w:rPr/>
      </w:pPr>
      <w:r>
        <w:rPr/>
        <w:t>Burner Material: [</w:t>
      </w:r>
      <w:r>
        <w:rPr>
          <w:b/>
        </w:rPr>
        <w:t>Aluminized steel with stainless-steel inserts</w:t>
      </w:r>
      <w:r>
        <w:rPr/>
        <w:t>] [</w:t>
      </w:r>
      <w:r>
        <w:rPr>
          <w:b/>
        </w:rPr>
        <w:t>Stainless steel</w:t>
      </w:r>
      <w:r>
        <w:rPr/>
        <w:t>].</w:t>
      </w:r>
    </w:p>
    <w:p>
      <w:pPr>
        <w:pStyle w:val="CMT"/>
        <w:rPr/>
      </w:pPr>
      <w:r>
        <w:rPr/>
        <w:t>Retain one of two "Venting" subparagraphs below.</w:t>
      </w:r>
    </w:p>
    <w:p>
      <w:pPr>
        <w:pStyle w:val="PR2"/>
        <w:numPr>
          <w:ilvl w:val="5"/>
          <w:numId w:val="1"/>
        </w:numPr>
        <w:ind w:hanging="0" w:left="0"/>
        <w:rPr/>
      </w:pPr>
      <w:r>
        <w:rPr/>
        <w:t>Venting: [</w:t>
      </w:r>
      <w:r>
        <w:rPr>
          <w:b/>
        </w:rPr>
        <w:t>Gravity</w:t>
      </w:r>
      <w:r>
        <w:rPr/>
        <w:t>] [</w:t>
      </w:r>
      <w:r>
        <w:rPr>
          <w:b/>
        </w:rPr>
        <w:t>Power</w:t>
      </w:r>
      <w:r>
        <w:rPr/>
        <w:t>] vented.</w:t>
      </w:r>
    </w:p>
    <w:p>
      <w:pPr>
        <w:pStyle w:val="PR2"/>
        <w:numPr>
          <w:ilvl w:val="5"/>
          <w:numId w:val="1"/>
        </w:numPr>
        <w:ind w:hanging="0" w:left="0"/>
        <w:rPr/>
      </w:pPr>
      <w:r>
        <w:rPr/>
        <w:t>Venting: Indoor, separated combustion, power vented.</w:t>
      </w:r>
    </w:p>
    <w:p>
      <w:pPr>
        <w:pStyle w:val="PR3"/>
        <w:numPr>
          <w:ilvl w:val="6"/>
          <w:numId w:val="1"/>
        </w:numPr>
        <w:spacing w:before="240" w:after="0"/>
        <w:ind w:hanging="0" w:left="0"/>
        <w:rPr/>
      </w:pPr>
      <w:r>
        <w:rPr/>
        <w:t>Concentric, Terminal Vent Assembly: Combined combustion-air inlet and power-vent outlet with wall or roof caps. Include adapter assembly for connection to inlet and outlet pipes, and flashing for wall or roof penetration.</w:t>
      </w:r>
    </w:p>
    <w:p>
      <w:pPr>
        <w:pStyle w:val="PR2"/>
        <w:numPr>
          <w:ilvl w:val="5"/>
          <w:numId w:val="1"/>
        </w:numPr>
        <w:spacing w:before="240" w:after="0"/>
        <w:ind w:hanging="0" w:left="0"/>
        <w:rPr/>
      </w:pPr>
      <w:r>
        <w:rPr/>
        <w:t>Flue Outlet: &lt;</w:t>
      </w:r>
      <w:r>
        <w:rPr>
          <w:b/>
        </w:rPr>
        <w:t xml:space="preserve">Insert </w:t>
      </w:r>
      <w:r>
        <w:rPr>
          <w:rStyle w:val="IP"/>
          <w:b/>
        </w:rPr>
        <w:t>inches</w:t>
      </w:r>
      <w:r>
        <w:rPr>
          <w:rStyle w:val="SI"/>
          <w:b/>
        </w:rPr>
        <w:t xml:space="preserve"> (mm)</w:t>
      </w:r>
      <w:r>
        <w:rPr/>
        <w:t>&gt; in diameter.</w:t>
      </w:r>
    </w:p>
    <w:p>
      <w:pPr>
        <w:pStyle w:val="PR2"/>
        <w:numPr>
          <w:ilvl w:val="5"/>
          <w:numId w:val="1"/>
        </w:numPr>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Control Valve: [</w:t>
      </w:r>
      <w:r>
        <w:rPr>
          <w:b/>
        </w:rPr>
        <w:t>Single stage</w:t>
      </w:r>
      <w:r>
        <w:rPr/>
        <w:t>] [</w:t>
      </w:r>
      <w:r>
        <w:rPr>
          <w:b/>
        </w:rPr>
        <w:t>Two stage</w:t>
      </w:r>
      <w:r>
        <w:rPr/>
        <w:t>] [</w:t>
      </w:r>
      <w:r>
        <w:rPr>
          <w:b/>
        </w:rPr>
        <w:t>Modulating</w:t>
      </w:r>
      <w:r>
        <w:rPr/>
        <w:t>].</w:t>
      </w:r>
    </w:p>
    <w:p>
      <w:pPr>
        <w:pStyle w:val="PR2"/>
        <w:numPr>
          <w:ilvl w:val="5"/>
          <w:numId w:val="1"/>
        </w:numPr>
        <w:ind w:hanging="0" w:left="0"/>
        <w:rPr/>
      </w:pPr>
      <w:r>
        <w:rPr/>
        <w:t>Annual Fuel Utilization Efficiency: [</w:t>
      </w:r>
      <w:r>
        <w:rPr>
          <w:b/>
        </w:rPr>
        <w:t>80</w:t>
      </w:r>
      <w:r>
        <w:rPr/>
        <w:t>] &lt;</w:t>
      </w:r>
      <w:r>
        <w:rPr>
          <w:b/>
        </w:rPr>
        <w:t>Insert number</w:t>
      </w:r>
      <w:r>
        <w:rPr/>
        <w:t>&gt; percent.</w:t>
      </w:r>
    </w:p>
    <w:p>
      <w:pPr>
        <w:pStyle w:val="PR2"/>
        <w:numPr>
          <w:ilvl w:val="5"/>
          <w:numId w:val="1"/>
        </w:numPr>
        <w:ind w:hanging="0" w:left="0"/>
        <w:rPr/>
      </w:pPr>
      <w:r>
        <w:rPr/>
        <w:t>Minimum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External Static Pressure: &lt;</w:t>
      </w:r>
      <w:r>
        <w:rPr>
          <w:b/>
        </w:rPr>
        <w:t xml:space="preserve">Insert </w:t>
      </w:r>
      <w:r>
        <w:rPr>
          <w:rStyle w:val="IP"/>
          <w:b/>
        </w:rPr>
        <w:t>inches wg</w:t>
      </w:r>
      <w:r>
        <w:rPr>
          <w:rStyle w:val="SI"/>
          <w:b/>
        </w:rPr>
        <w:t xml:space="preserve"> (kPa)</w:t>
      </w:r>
      <w:r>
        <w:rPr/>
        <w:t>&gt;.</w:t>
      </w:r>
    </w:p>
    <w:p>
      <w:pPr>
        <w:pStyle w:val="ART"/>
        <w:numPr>
          <w:ilvl w:val="3"/>
          <w:numId w:val="1"/>
        </w:numPr>
        <w:ind w:hanging="0" w:left="0"/>
        <w:rPr/>
      </w:pPr>
      <w:r>
        <w:rPr/>
        <w:t>MANUFACTURED UNITS</w:t>
      </w:r>
    </w:p>
    <w:p>
      <w:pPr>
        <w:pStyle w:val="PR1"/>
        <w:numPr>
          <w:ilvl w:val="4"/>
          <w:numId w:val="1"/>
        </w:numPr>
        <w:ind w:hanging="0" w:left="0"/>
        <w:rPr/>
      </w:pPr>
      <w:r>
        <w:rPr/>
        <w:t>Description: Factory assembled, piped, and wired; and complying with ANSI Z83.8/CSA 2.6.</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CMT"/>
        <w:rPr/>
      </w:pPr>
      <w:r>
        <w:rPr/>
        <w:t>Retain "Indoor External Housing" or "Outdoor External Housing" Paragraph below. Retain both if units are installed indoors and outdoors.</w:t>
      </w:r>
    </w:p>
    <w:p>
      <w:pPr>
        <w:pStyle w:val="PR1"/>
        <w:numPr>
          <w:ilvl w:val="4"/>
          <w:numId w:val="1"/>
        </w:numPr>
        <w:ind w:hanging="0" w:left="0"/>
        <w:rPr/>
      </w:pPr>
      <w:r>
        <w:rPr/>
        <w:t>Indoor External Housing: Steel cabinet with integral support inserts and removable bottom arranged to serve as drain pan.</w:t>
      </w:r>
    </w:p>
    <w:p>
      <w:pPr>
        <w:pStyle w:val="PR2"/>
        <w:numPr>
          <w:ilvl w:val="5"/>
          <w:numId w:val="1"/>
        </w:numPr>
        <w:spacing w:before="240" w:after="0"/>
        <w:ind w:hanging="0" w:left="0"/>
        <w:rPr/>
      </w:pPr>
      <w:r>
        <w:rPr/>
        <w:t>External Casings and Cabinets: [</w:t>
      </w:r>
      <w:r>
        <w:rPr>
          <w:b/>
        </w:rPr>
        <w:t>Baked enamel</w:t>
      </w:r>
      <w:r>
        <w:rPr/>
        <w:t>] [</w:t>
      </w:r>
      <w:r>
        <w:rPr>
          <w:b/>
        </w:rPr>
        <w:t>Powder coating</w:t>
      </w:r>
      <w:r>
        <w:rPr/>
        <w:t>] over corrosion-resistant-treated surface.</w:t>
      </w:r>
    </w:p>
    <w:p>
      <w:pPr>
        <w:pStyle w:val="PR1"/>
        <w:numPr>
          <w:ilvl w:val="4"/>
          <w:numId w:val="1"/>
        </w:numPr>
        <w:ind w:hanging="0" w:left="0"/>
        <w:rPr/>
      </w:pPr>
      <w:r>
        <w:rPr/>
        <w:t>Outdoor External Housing: Weatherproof steel cabinet with integral support inserts and removable bottom arranged to serve as drain pan.</w:t>
      </w:r>
    </w:p>
    <w:p>
      <w:pPr>
        <w:pStyle w:val="PR2"/>
        <w:numPr>
          <w:ilvl w:val="5"/>
          <w:numId w:val="1"/>
        </w:numPr>
        <w:spacing w:before="240" w:after="0"/>
        <w:ind w:hanging="0" w:left="0"/>
        <w:rPr/>
      </w:pPr>
      <w:r>
        <w:rPr/>
        <w:t>External Casings and Cabinets: [</w:t>
      </w:r>
      <w:r>
        <w:rPr>
          <w:b/>
        </w:rPr>
        <w:t>Baked enamel</w:t>
      </w:r>
      <w:r>
        <w:rPr/>
        <w:t>] [</w:t>
      </w:r>
      <w:r>
        <w:rPr>
          <w:b/>
        </w:rPr>
        <w:t>Powder coating</w:t>
      </w:r>
      <w:r>
        <w:rPr/>
        <w:t>] over corrosion-resistant-treated surface.</w:t>
      </w:r>
    </w:p>
    <w:p>
      <w:pPr>
        <w:pStyle w:val="PR1"/>
        <w:numPr>
          <w:ilvl w:val="4"/>
          <w:numId w:val="1"/>
        </w:numPr>
        <w:ind w:hanging="0" w:left="0"/>
        <w:rPr/>
      </w:pPr>
      <w:r>
        <w:rPr/>
        <w:t>Internal Casing: Aluminized steel, arranged to contain airflow, with duct flanges at inlet and outlet.</w:t>
      </w:r>
    </w:p>
    <w:p>
      <w:pPr>
        <w:pStyle w:val="CMT"/>
        <w:rPr/>
      </w:pPr>
      <w:r>
        <w:rPr/>
        <w:t>Retain "Power Venter" Paragraph below for power-vented model.</w:t>
      </w:r>
    </w:p>
    <w:p>
      <w:pPr>
        <w:pStyle w:val="PR1"/>
        <w:numPr>
          <w:ilvl w:val="4"/>
          <w:numId w:val="1"/>
        </w:numPr>
        <w:ind w:hanging="0" w:left="0"/>
        <w:rPr/>
      </w:pPr>
      <w:r>
        <w:rPr/>
        <w:t>Power Venter: Integral, motorized centrifugal fan interlocked with gas valve.</w:t>
      </w:r>
    </w:p>
    <w:p>
      <w:pPr>
        <w:pStyle w:val="PR1"/>
        <w:numPr>
          <w:ilvl w:val="4"/>
          <w:numId w:val="1"/>
        </w:numPr>
        <w:ind w:hanging="0" w:left="0"/>
        <w:rPr/>
      </w:pPr>
      <w:r>
        <w:rPr/>
        <w:t>Controls: Regulated redundant gas valve containing pilot solenoid valve, electric gas valve, pilot filter, pressure regulator, pilot shutoff, and manual shutoff all in one body.</w:t>
      </w:r>
    </w:p>
    <w:p>
      <w:pPr>
        <w:pStyle w:val="PR2"/>
        <w:numPr>
          <w:ilvl w:val="5"/>
          <w:numId w:val="1"/>
        </w:numPr>
        <w:spacing w:before="240" w:after="0"/>
        <w:ind w:hanging="0" w:left="0"/>
        <w:rPr/>
      </w:pPr>
      <w:r>
        <w:rPr/>
        <w:t>Ignition: [</w:t>
      </w:r>
      <w:r>
        <w:rPr>
          <w:b/>
        </w:rPr>
        <w:t>Standing pilot</w:t>
      </w:r>
      <w:r>
        <w:rPr/>
        <w:t>] [</w:t>
      </w:r>
      <w:r>
        <w:rPr>
          <w:b/>
        </w:rPr>
        <w:t>Electronically controlled electric spark with flame sensor</w:t>
      </w:r>
      <w:r>
        <w:rPr/>
        <w:t>].</w:t>
      </w:r>
    </w:p>
    <w:p>
      <w:pPr>
        <w:pStyle w:val="PR2"/>
        <w:numPr>
          <w:ilvl w:val="5"/>
          <w:numId w:val="1"/>
        </w:numPr>
        <w:ind w:hanging="0" w:left="0"/>
        <w:rPr/>
      </w:pPr>
      <w:r>
        <w:rPr/>
        <w:t>Fan Thermal Switch: Operates fan on heat-exchanger temperature.</w:t>
      </w:r>
    </w:p>
    <w:p>
      <w:pPr>
        <w:pStyle w:val="CMT"/>
        <w:rPr/>
      </w:pPr>
      <w:r>
        <w:rPr/>
        <w:t>First option in "Vent Flow Verification" Subparagraph below is for gravity-vented units; second option is for units with a power venter.</w:t>
      </w:r>
    </w:p>
    <w:p>
      <w:pPr>
        <w:pStyle w:val="PR2"/>
        <w:numPr>
          <w:ilvl w:val="5"/>
          <w:numId w:val="1"/>
        </w:numPr>
        <w:ind w:hanging="0" w:left="0"/>
        <w:rPr/>
      </w:pPr>
      <w:r>
        <w:rPr/>
        <w:t>Vent Flow Verification: [</w:t>
      </w:r>
      <w:r>
        <w:rPr>
          <w:b/>
        </w:rPr>
        <w:t>Flame rollout switch</w:t>
      </w:r>
      <w:r>
        <w:rPr/>
        <w:t>] [</w:t>
      </w:r>
      <w:r>
        <w:rPr>
          <w:b/>
        </w:rPr>
        <w:t>Differential pressure switch to verify open vent</w:t>
      </w:r>
      <w:r>
        <w:rPr/>
        <w:t>].</w:t>
      </w:r>
    </w:p>
    <w:p>
      <w:pPr>
        <w:pStyle w:val="PR2"/>
        <w:numPr>
          <w:ilvl w:val="5"/>
          <w:numId w:val="1"/>
        </w:numPr>
        <w:ind w:hanging="0" w:left="0"/>
        <w:rPr/>
      </w:pPr>
      <w:r>
        <w:rPr/>
        <w:t>Control transformer.</w:t>
      </w:r>
    </w:p>
    <w:p>
      <w:pPr>
        <w:pStyle w:val="PR2"/>
        <w:numPr>
          <w:ilvl w:val="5"/>
          <w:numId w:val="1"/>
        </w:numPr>
        <w:ind w:hanging="0" w:left="0"/>
        <w:rPr/>
      </w:pPr>
      <w:r>
        <w:rPr/>
        <w:t>High Limit: Thermal switch or fuse to stop burner.</w:t>
      </w:r>
    </w:p>
    <w:p>
      <w:pPr>
        <w:pStyle w:val="CMT"/>
        <w:rPr/>
      </w:pPr>
      <w:r>
        <w:rPr/>
        <w:t>Retain one of five "Thermostat" subparagraphs below.</w:t>
      </w:r>
    </w:p>
    <w:p>
      <w:pPr>
        <w:pStyle w:val="PR2"/>
        <w:numPr>
          <w:ilvl w:val="5"/>
          <w:numId w:val="1"/>
        </w:numPr>
        <w:ind w:hanging="0" w:left="0"/>
        <w:rPr/>
      </w:pPr>
      <w:r>
        <w:rPr/>
        <w:t>Thermostat: Devices and wiring are specified in Section 230923.27 "Temperature Instruments."</w:t>
      </w:r>
    </w:p>
    <w:p>
      <w:pPr>
        <w:pStyle w:val="PR2"/>
        <w:numPr>
          <w:ilvl w:val="5"/>
          <w:numId w:val="1"/>
        </w:numPr>
        <w:ind w:hanging="0" w:left="0"/>
        <w:rPr/>
      </w:pPr>
      <w:r>
        <w:rPr/>
        <w:t xml:space="preserve">Thermostat: Single-stage,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ind w:hanging="0" w:left="0"/>
        <w:rPr/>
      </w:pPr>
      <w:r>
        <w:rPr/>
        <w:t xml:space="preserve">Thermostat: Two-stage,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ind w:hanging="0" w:left="0"/>
        <w:rPr/>
      </w:pPr>
      <w:r>
        <w:rPr/>
        <w:t xml:space="preserve">Thermostat: Single-stage type with duct-mounted sensor and </w:t>
      </w:r>
      <w:r>
        <w:rPr>
          <w:rStyle w:val="IP"/>
        </w:rPr>
        <w:t>50 to 90 deg F</w:t>
      </w:r>
      <w:r>
        <w:rPr>
          <w:rStyle w:val="SI"/>
        </w:rPr>
        <w:t xml:space="preserve"> (10 to 32 deg C)</w:t>
      </w:r>
      <w:r>
        <w:rPr/>
        <w:t xml:space="preserve"> operating range.</w:t>
      </w:r>
    </w:p>
    <w:p>
      <w:pPr>
        <w:pStyle w:val="PR2"/>
        <w:numPr>
          <w:ilvl w:val="5"/>
          <w:numId w:val="1"/>
        </w:numPr>
        <w:ind w:hanging="0" w:left="0"/>
        <w:rPr/>
      </w:pPr>
      <w:r>
        <w:rPr/>
        <w:t xml:space="preserve">Thermostat: Two-stage type with duct-mounted sensor and </w:t>
      </w:r>
      <w:r>
        <w:rPr>
          <w:rStyle w:val="IP"/>
        </w:rPr>
        <w:t>50 to 90 deg F</w:t>
      </w:r>
      <w:r>
        <w:rPr>
          <w:rStyle w:val="SI"/>
        </w:rPr>
        <w:t xml:space="preserve"> (10 to 32 deg C)</w:t>
      </w:r>
      <w:r>
        <w:rPr/>
        <w:t xml:space="preserve"> operating range.</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Retain first option in first paragraph below for projects in the United States; retain second option for projects in Canada.</w:t>
      </w:r>
    </w:p>
    <w:p>
      <w:pPr>
        <w:pStyle w:val="PR1"/>
        <w:numPr>
          <w:ilvl w:val="4"/>
          <w:numId w:val="1"/>
        </w:numPr>
        <w:ind w:hanging="0" w:left="0"/>
        <w:rPr/>
      </w:pPr>
      <w:r>
        <w:rPr/>
        <w:t>Install and connect gas-fired duct heaters and associated fuel and vent features and systems according to [</w:t>
      </w:r>
      <w:r>
        <w:rPr>
          <w:b/>
        </w:rPr>
        <w:t>NFPA 54</w:t>
      </w:r>
      <w:r>
        <w:rPr/>
        <w:t>] [</w:t>
      </w:r>
      <w:r>
        <w:rPr>
          <w:b/>
        </w:rPr>
        <w:t>CSA B149.1</w:t>
      </w:r>
      <w:r>
        <w:rPr/>
        <w:t>], applicable local codes and regulations, and manufacturer's written instructions.</w:t>
      </w:r>
    </w:p>
    <w:p>
      <w:pPr>
        <w:pStyle w:val="PR1"/>
        <w:numPr>
          <w:ilvl w:val="4"/>
          <w:numId w:val="1"/>
        </w:numPr>
        <w:ind w:hanging="0" w:left="0"/>
        <w:rPr/>
      </w:pPr>
      <w:r>
        <w:rPr/>
        <w:t>Suspended Units: Suspend from substrate using threaded rods, spring hangers, and building attachments. Secure rods to unit hanger attachments. Adjust hangers so unit is level and plumb.</w:t>
      </w:r>
    </w:p>
    <w:p>
      <w:pPr>
        <w:pStyle w:val="PR2"/>
        <w:numPr>
          <w:ilvl w:val="5"/>
          <w:numId w:val="1"/>
        </w:numPr>
        <w:spacing w:before="240" w:after="0"/>
        <w:ind w:hanging="0" w:left="0"/>
        <w:rPr/>
      </w:pPr>
      <w:r>
        <w:rPr/>
        <w:t>Spring hangers are specified in Section 230529 "Hangers and Supports for HVAC Piping and Equipment."</w:t>
      </w:r>
    </w:p>
    <w:p>
      <w:pPr>
        <w:pStyle w:val="PR2"/>
        <w:numPr>
          <w:ilvl w:val="5"/>
          <w:numId w:val="1"/>
        </w:numPr>
        <w:ind w:hanging="0" w:left="0"/>
        <w:rPr/>
      </w:pPr>
      <w:r>
        <w:rPr/>
        <w:t>Comply with requirements in Section 230548 "Vibration and Seismic Controls for HVAC" for spring hangers and seismic restraints.</w:t>
      </w:r>
    </w:p>
    <w:p>
      <w:pPr>
        <w:pStyle w:val="CMT"/>
        <w:rPr/>
      </w:pPr>
      <w:r>
        <w:rPr/>
        <w:t>Retain subparagraph below if Project site is in a seismic area.</w:t>
      </w:r>
    </w:p>
    <w:p>
      <w:pPr>
        <w:pStyle w:val="PR2"/>
        <w:numPr>
          <w:ilvl w:val="5"/>
          <w:numId w:val="1"/>
        </w:numPr>
        <w:ind w:hanging="0" w:left="0"/>
        <w:rPr/>
      </w:pPr>
      <w:r>
        <w:rPr/>
        <w:t>Restrain the unit to resist code-required horizontal acceleration.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Where installing piping adjacent to gas-fired duct heaters, allow space for service and maintenance.</w:t>
      </w:r>
    </w:p>
    <w:p>
      <w:pPr>
        <w:pStyle w:val="PR1"/>
        <w:numPr>
          <w:ilvl w:val="4"/>
          <w:numId w:val="1"/>
        </w:numPr>
        <w:ind w:hanging="0" w:left="0"/>
        <w:rPr/>
      </w:pPr>
      <w:r>
        <w:rPr/>
        <w:t>Gas Piping: Comply with [</w:t>
      </w:r>
      <w:r>
        <w:rPr>
          <w:b/>
        </w:rPr>
        <w:t>Section 231123 "Facility Natural-Gas Piping."</w:t>
      </w:r>
      <w:r>
        <w:rPr/>
        <w:t>] [</w:t>
      </w:r>
      <w:r>
        <w:rPr>
          <w:b/>
        </w:rPr>
        <w:t>Section 231126 "Facility Liquefied-Petroleum Gas Piping."</w:t>
      </w:r>
      <w:r>
        <w:rPr/>
        <w:t>] Connect gas piping to gas train inlet; provide union with enough clearance for burner removal and service.</w:t>
      </w:r>
    </w:p>
    <w:p>
      <w:pPr>
        <w:pStyle w:val="PR1"/>
        <w:numPr>
          <w:ilvl w:val="4"/>
          <w:numId w:val="1"/>
        </w:numPr>
        <w:ind w:hanging="0" w:left="0"/>
        <w:rPr/>
      </w:pPr>
      <w:r>
        <w:rPr/>
        <w:t>Vent Connections: Comply with Section 235123 "Gas Vents."</w:t>
      </w:r>
    </w:p>
    <w:p>
      <w:pPr>
        <w:pStyle w:val="PR1"/>
        <w:numPr>
          <w:ilvl w:val="4"/>
          <w:numId w:val="1"/>
        </w:numPr>
        <w:ind w:hanging="0" w:left="0"/>
        <w:rPr/>
      </w:pPr>
      <w:r>
        <w:rPr/>
        <w:t>Duct Connections: Comply with [</w:t>
      </w:r>
      <w:r>
        <w:rPr>
          <w:b/>
        </w:rPr>
        <w:t>Section 233113 "Metal Ducts."</w:t>
      </w:r>
      <w:r>
        <w:rPr/>
        <w:t>] [</w:t>
      </w:r>
      <w:r>
        <w:rPr>
          <w:b/>
        </w:rPr>
        <w:t>Section 233116 "Nonmetal Ducts."</w:t>
      </w:r>
      <w:r>
        <w:rPr/>
        <w:t>]</w:t>
      </w:r>
    </w:p>
    <w:p>
      <w:pPr>
        <w:pStyle w:val="PR1"/>
        <w:numPr>
          <w:ilvl w:val="4"/>
          <w:numId w:val="1"/>
        </w:numPr>
        <w:ind w:hanging="0" w:left="0"/>
        <w:rPr/>
      </w:pPr>
      <w:r>
        <w:rPr/>
        <w:t>Electrical Connections: Comply with applicable requirements in electrical Sections.</w:t>
      </w:r>
    </w:p>
    <w:p>
      <w:pPr>
        <w:pStyle w:val="PR2"/>
        <w:numPr>
          <w:ilvl w:val="5"/>
          <w:numId w:val="1"/>
        </w:numPr>
        <w:spacing w:before="240" w:after="0"/>
        <w:ind w:hanging="0" w:left="0"/>
        <w:rPr/>
      </w:pPr>
      <w:r>
        <w:rPr/>
        <w:t>Install electrical devices furnished with heaters but not specified to be factory mounted.</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and adjust controls and safeties. Replace damaged and malfunctioning controls and equipment.</w:t>
      </w:r>
    </w:p>
    <w:p>
      <w:pPr>
        <w:pStyle w:val="PR2"/>
        <w:numPr>
          <w:ilvl w:val="5"/>
          <w:numId w:val="1"/>
        </w:numPr>
        <w:ind w:hanging="0" w:left="0"/>
        <w:rPr/>
      </w:pPr>
      <w:r>
        <w:rPr/>
        <w:t>Verify bearing lubrication.</w:t>
      </w:r>
    </w:p>
    <w:p>
      <w:pPr>
        <w:pStyle w:val="PR2"/>
        <w:numPr>
          <w:ilvl w:val="5"/>
          <w:numId w:val="1"/>
        </w:numPr>
        <w:ind w:hanging="0" w:left="0"/>
        <w:rPr/>
      </w:pPr>
      <w:r>
        <w:rPr/>
        <w:t>Verify proper motor rotation.</w:t>
      </w:r>
    </w:p>
    <w:p>
      <w:pPr>
        <w:pStyle w:val="PR2"/>
        <w:numPr>
          <w:ilvl w:val="5"/>
          <w:numId w:val="1"/>
        </w:numPr>
        <w:ind w:hanging="0" w:left="0"/>
        <w:rPr/>
      </w:pPr>
      <w:r>
        <w:rPr/>
        <w:t>Test Reports: Prepare a written report to record the following:</w:t>
      </w:r>
    </w:p>
    <w:p>
      <w:pPr>
        <w:pStyle w:val="PR3"/>
        <w:numPr>
          <w:ilvl w:val="6"/>
          <w:numId w:val="1"/>
        </w:numPr>
        <w:spacing w:before="240" w:after="0"/>
        <w:ind w:hanging="0" w:left="0"/>
        <w:rPr/>
      </w:pPr>
      <w:r>
        <w:rPr/>
        <w:t>Test procedures used.</w:t>
      </w:r>
    </w:p>
    <w:p>
      <w:pPr>
        <w:pStyle w:val="PR3"/>
        <w:numPr>
          <w:ilvl w:val="6"/>
          <w:numId w:val="1"/>
        </w:numPr>
        <w:ind w:hanging="0" w:left="0"/>
        <w:rPr/>
      </w:pPr>
      <w:r>
        <w:rPr/>
        <w:t>Test results that comply with requirements.</w:t>
      </w:r>
    </w:p>
    <w:p>
      <w:pPr>
        <w:pStyle w:val="PR3"/>
        <w:numPr>
          <w:ilvl w:val="6"/>
          <w:numId w:val="1"/>
        </w:numPr>
        <w:ind w:hanging="0" w:left="0"/>
        <w:rPr/>
      </w:pPr>
      <w:r>
        <w:rPr/>
        <w:t>Test results that do not comply with requirements and corrective action taken to achieve compliance with requirements.</w:t>
      </w:r>
    </w:p>
    <w:p>
      <w:pPr>
        <w:pStyle w:val="CMT"/>
        <w:rPr/>
      </w:pPr>
      <w:r>
        <w:rPr/>
        <w:t>Section 014000 "Quality Requirements" for retesting and reinspecting requirements and Section 017300 "Execution" for requirements for correcting the Work.</w:t>
      </w:r>
    </w:p>
    <w:p>
      <w:pPr>
        <w:pStyle w:val="PR1"/>
        <w:numPr>
          <w:ilvl w:val="4"/>
          <w:numId w:val="1"/>
        </w:numPr>
        <w:ind w:hanging="0" w:left="0"/>
        <w:rPr/>
      </w:pPr>
      <w:r>
        <w:rPr/>
        <w:t>Gas-fired duct heater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and humidity set points.</w:t>
      </w:r>
    </w:p>
    <w:p>
      <w:pPr>
        <w:pStyle w:val="PR1"/>
        <w:numPr>
          <w:ilvl w:val="4"/>
          <w:numId w:val="1"/>
        </w:numPr>
        <w:ind w:hanging="0" w:left="0"/>
        <w:rPr/>
      </w:pPr>
      <w:r>
        <w:rPr/>
        <w:t>Adjust burner and other unit components for optimum heating performance and efficiency.</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gas-fired duct heaters.</w:t>
      </w:r>
    </w:p>
    <w:p>
      <w:pPr>
        <w:pStyle w:val="EOS"/>
        <w:rPr/>
      </w:pPr>
      <w:r>
        <w:rPr/>
        <w:t>END OF SECTION 235513.16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GAS-FIRED DUCT HEATERS</w:t>
          </w:r>
        </w:p>
      </w:tc>
      <w:tc>
        <w:tcPr>
          <w:tcW w:w="1872" w:type="dxa"/>
          <w:tcBorders/>
        </w:tcPr>
        <w:p>
          <w:pPr>
            <w:pStyle w:val="RJUST"/>
            <w:rPr/>
          </w:pPr>
          <w:r>
            <w:rPr>
              <w:rStyle w:val="NUM"/>
            </w:rPr>
            <w:t>235513.16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551316"/>
    <w:docVar w:name="MF95" w:val="15541"/>
    <w:docVar w:name="MFOrigin" w:val="MF04"/>
    <w:docVar w:name="SectionID" w:val="3195"/>
    <w:docVar w:name="SpecType" w:val="MasterSpec"/>
    <w:docVar w:name="Version" w:val="110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51316&amp;ver=03-01-15&amp;format=FL&amp;sid=11089&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9373&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GAS-FIRED DUCT HEATERS</dc:subject>
  <dc:title>SECTION 235513.16 - GAS-FIRED DUCT HEATERS</dc:title>
</cp:coreProperties>
</file>