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235523.16</w:t>
      </w:r>
      <w:r>
        <w:rPr/>
        <w:t xml:space="preserve"> - </w:t>
      </w:r>
      <w:r>
        <w:rPr>
          <w:rStyle w:val="NAM"/>
        </w:rPr>
        <w:t>HIGH-INTENSITY, GAS-FIRED, RADIANT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If applying for LEED certification, LEED Prerequisite EA 2 requires compliance with ASHRAE/IESNA 90.1, in which Section 6.5.8 - "Radiant Heating Systems" requires that radiant heat be used to heat unenclosed spaces except loading docks equipped with air curtains.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High-intensity, infrared, gas-fired, radiant heaters.</w:t>
      </w:r>
    </w:p>
    <w:p>
      <w:pPr>
        <w:pStyle w:val="PR2"/>
        <w:numPr>
          <w:ilvl w:val="5"/>
          <w:numId w:val="1"/>
        </w:numPr>
        <w:ind w:hanging="0" w:left="0"/>
        <w:rPr/>
      </w:pPr>
      <w:r>
        <w:rPr/>
        <w:t>Gas-fired, outdoor, infrared patio heaters.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w:t>
      </w:r>
    </w:p>
    <w:p>
      <w:pPr>
        <w:pStyle w:val="CMT"/>
        <w:rPr/>
      </w:pPr>
      <w:r>
        <w:rPr/>
        <w:t>Retain first subparagraph below if equipment is required to withstand specific design loads and design responsibilities have been delegated to Contractor or if structural data is required as another way to verify equipment's compliance with performance requirements. Professional engineer qualifications are specified in Section 014000 "Quality Requirements."</w:t>
      </w:r>
    </w:p>
    <w:p>
      <w:pPr>
        <w:pStyle w:val="PR2"/>
        <w:numPr>
          <w:ilvl w:val="5"/>
          <w:numId w:val="1"/>
        </w:numPr>
        <w:spacing w:before="240" w:after="0"/>
        <w:ind w:hanging="0" w:left="0"/>
        <w:rPr/>
      </w:pPr>
      <w:r>
        <w:rPr/>
        <w:t>Signed, sealed, and prepared by or under the supervision of a qualified professional engineer.</w:t>
      </w:r>
    </w:p>
    <w:p>
      <w:pPr>
        <w:pStyle w:val="PR2"/>
        <w:numPr>
          <w:ilvl w:val="5"/>
          <w:numId w:val="1"/>
        </w:numPr>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high-intensity, gas-fired, radiant heaters, as well as procedures and diagrams.</w:t>
      </w:r>
    </w:p>
    <w:p>
      <w:pPr>
        <w:pStyle w:val="CMT"/>
        <w:rPr/>
      </w:pPr>
      <w:r>
        <w:rPr/>
        <w:t>Retain option in subparagraph below if thermostats are specified in this Section; delete if thermostats for these units are specified in Section 230923.27 "Temperature Instruments."</w:t>
      </w:r>
    </w:p>
    <w:p>
      <w:pPr>
        <w:pStyle w:val="PR2"/>
        <w:numPr>
          <w:ilvl w:val="5"/>
          <w:numId w:val="1"/>
        </w:numPr>
        <w:ind w:hanging="0" w:left="0"/>
        <w:rPr/>
      </w:pPr>
      <w:r>
        <w:rPr/>
        <w:t>Include diagrams for power[</w:t>
      </w:r>
      <w:r>
        <w:rPr>
          <w:b/>
        </w:rPr>
        <w:t>, signal, and control</w:t>
      </w:r>
      <w:r>
        <w:rPr/>
        <w:t>] wiring.</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gas-fired, radiant heaters.</w:t>
      </w:r>
    </w:p>
    <w:p>
      <w:pPr>
        <w:pStyle w:val="PR2"/>
        <w:numPr>
          <w:ilvl w:val="5"/>
          <w:numId w:val="1"/>
        </w:numPr>
        <w:spacing w:before="240" w:after="0"/>
        <w:ind w:hanging="0" w:left="0"/>
        <w:rPr/>
      </w:pPr>
      <w:r>
        <w:rPr/>
        <w:t>Include design calculations for seismic restraints.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elevations,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Structural members to which equipment will be attached.</w:t>
      </w:r>
    </w:p>
    <w:p>
      <w:pPr>
        <w:pStyle w:val="PR2"/>
        <w:numPr>
          <w:ilvl w:val="5"/>
          <w:numId w:val="1"/>
        </w:numPr>
        <w:ind w:hanging="0" w:left="0"/>
        <w:rPr/>
      </w:pPr>
      <w:r>
        <w:rPr/>
        <w:t>Gas piping to heater installations</w:t>
      </w:r>
    </w:p>
    <w:p>
      <w:pPr>
        <w:pStyle w:val="CMT"/>
        <w:rPr/>
      </w:pPr>
      <w:r>
        <w:rPr/>
        <w:t>Retain first subparagraph below if thermostats are not specified in Section 230923.27 "Temperature Instruments."</w:t>
      </w:r>
    </w:p>
    <w:p>
      <w:pPr>
        <w:pStyle w:val="PR2"/>
        <w:numPr>
          <w:ilvl w:val="5"/>
          <w:numId w:val="1"/>
        </w:numPr>
        <w:ind w:hanging="0" w:left="0"/>
        <w:rPr/>
      </w:pPr>
      <w:r>
        <w:rPr/>
        <w:t>Thermostats and wiring to heaters.</w:t>
      </w:r>
    </w:p>
    <w:p>
      <w:pPr>
        <w:pStyle w:val="PR2"/>
        <w:numPr>
          <w:ilvl w:val="5"/>
          <w:numId w:val="1"/>
        </w:numPr>
        <w:ind w:hanging="0" w:left="0"/>
        <w:rPr/>
      </w:pPr>
      <w:r>
        <w:rPr/>
        <w:t>Heater locations and clearance requirements.</w:t>
      </w:r>
    </w:p>
    <w:p>
      <w:pPr>
        <w:pStyle w:val="PR2"/>
        <w:numPr>
          <w:ilvl w:val="5"/>
          <w:numId w:val="1"/>
        </w:numPr>
        <w:ind w:hanging="0" w:left="0"/>
        <w:rPr/>
      </w:pPr>
      <w:r>
        <w:rPr/>
        <w:t>Other suspended ceiling components:</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Sprinklers.</w:t>
      </w:r>
    </w:p>
    <w:p>
      <w:pPr>
        <w:pStyle w:val="PR3"/>
        <w:numPr>
          <w:ilvl w:val="6"/>
          <w:numId w:val="1"/>
        </w:numPr>
        <w:ind w:hanging="0" w:left="0"/>
        <w:rPr/>
      </w:pPr>
      <w:r>
        <w:rPr/>
        <w:t>&lt;</w:t>
      </w:r>
      <w:r>
        <w:rPr>
          <w:b/>
        </w:rPr>
        <w:t>Insert item</w:t>
      </w:r>
      <w:r>
        <w:rPr/>
        <w:t>&gt;.</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warranties.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gas-fired, radiant heaters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Igniter: [</w:t>
      </w:r>
      <w:r>
        <w:rPr>
          <w:b/>
        </w:rPr>
        <w:t>One</w:t>
      </w:r>
      <w:r>
        <w:rPr/>
        <w:t>] &lt;</w:t>
      </w:r>
      <w:r>
        <w:rPr>
          <w:b/>
        </w:rPr>
        <w:t>Insert number</w:t>
      </w:r>
      <w:r>
        <w:rPr/>
        <w:t>&gt; hot-surface burner igniter(s) for each style of high-intensity, gas-fired, radiant heater furnished.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components of radiant heaters that fail in materials or workmanship within specified warranty period.</w:t>
      </w:r>
    </w:p>
    <w:p>
      <w:pPr>
        <w:pStyle w:val="CMT"/>
        <w:rPr/>
      </w:pPr>
      <w:r>
        <w:rPr/>
        <w:t>See the High-Intensity, Radiant Heater Product Comparison Matrix in the Evaluations for a comparison of warranties offered among manufacturers listed. Verify available warranties and warranty periods.</w:t>
      </w:r>
    </w:p>
    <w:p>
      <w:pPr>
        <w:pStyle w:val="PR2"/>
        <w:numPr>
          <w:ilvl w:val="5"/>
          <w:numId w:val="1"/>
        </w:numPr>
        <w:spacing w:before="240" w:after="0"/>
        <w:ind w:hanging="0" w:left="0"/>
        <w:rPr/>
      </w:pPr>
      <w:r>
        <w:rPr/>
        <w:t>Warranty Period: All warranty periods listed below are from date of Substantial Completion.</w:t>
      </w:r>
    </w:p>
    <w:p>
      <w:pPr>
        <w:pStyle w:val="PR3"/>
        <w:numPr>
          <w:ilvl w:val="6"/>
          <w:numId w:val="1"/>
        </w:numPr>
        <w:spacing w:before="240" w:after="0"/>
        <w:ind w:hanging="0" w:left="0"/>
        <w:rPr/>
      </w:pPr>
      <w:r>
        <w:rPr/>
        <w:t>Ceramic Tiles: [</w:t>
      </w:r>
      <w:r>
        <w:rPr>
          <w:b/>
        </w:rPr>
        <w:t>Three</w:t>
      </w:r>
      <w:r>
        <w:rPr/>
        <w:t>] [</w:t>
      </w:r>
      <w:r>
        <w:rPr>
          <w:b/>
        </w:rPr>
        <w:t>Five</w:t>
      </w:r>
      <w:r>
        <w:rPr/>
        <w:t>] [</w:t>
      </w:r>
      <w:r>
        <w:rPr>
          <w:b/>
        </w:rPr>
        <w:t>10</w:t>
      </w:r>
      <w:r>
        <w:rPr/>
        <w:t>] [</w:t>
      </w:r>
      <w:r>
        <w:rPr>
          <w:b/>
        </w:rPr>
        <w:t>15</w:t>
      </w:r>
      <w:r>
        <w:rPr/>
        <w:t>] &lt;</w:t>
      </w:r>
      <w:r>
        <w:rPr>
          <w:b/>
        </w:rPr>
        <w:t>Insert number</w:t>
      </w:r>
      <w:r>
        <w:rPr/>
        <w:t>&gt; years.</w:t>
      </w:r>
    </w:p>
    <w:p>
      <w:pPr>
        <w:pStyle w:val="PR3"/>
        <w:numPr>
          <w:ilvl w:val="6"/>
          <w:numId w:val="1"/>
        </w:numPr>
        <w:ind w:hanging="0" w:left="0"/>
        <w:rPr/>
      </w:pPr>
      <w:r>
        <w:rPr/>
        <w:t>Heater Components: [</w:t>
      </w:r>
      <w:r>
        <w:rPr>
          <w:b/>
        </w:rPr>
        <w:t>One</w:t>
      </w:r>
      <w:r>
        <w:rPr/>
        <w:t>] [</w:t>
      </w:r>
      <w:r>
        <w:rPr>
          <w:b/>
        </w:rPr>
        <w:t>Three</w:t>
      </w:r>
      <w:r>
        <w:rPr/>
        <w:t>] [</w:t>
      </w:r>
      <w:r>
        <w:rPr>
          <w:b/>
        </w:rPr>
        <w:t>Five</w:t>
      </w:r>
      <w:r>
        <w:rPr/>
        <w:t>] [</w:t>
      </w:r>
      <w:r>
        <w:rPr>
          <w:b/>
        </w:rPr>
        <w:t>10</w:t>
      </w:r>
      <w:r>
        <w:rPr/>
        <w:t>] &lt;</w:t>
      </w:r>
      <w:r>
        <w:rPr>
          <w:b/>
        </w:rPr>
        <w:t>Insert number</w:t>
      </w:r>
      <w:r>
        <w:rPr/>
        <w:t>&gt; year(s).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first option in first paragraph below for high-intensity, infrared heaters and second option for outdoor, high-intensity patio heaters.</w:t>
      </w:r>
    </w:p>
    <w:p>
      <w:pPr>
        <w:pStyle w:val="PR1"/>
        <w:numPr>
          <w:ilvl w:val="4"/>
          <w:numId w:val="1"/>
        </w:numPr>
        <w:ind w:hanging="0" w:left="0"/>
        <w:rPr/>
      </w:pPr>
      <w:r>
        <w:rPr/>
        <w:t>Comply with [</w:t>
      </w:r>
      <w:r>
        <w:rPr>
          <w:b/>
        </w:rPr>
        <w:t>ANSI Z83.19A/CSA 2.35A</w:t>
      </w:r>
      <w:r>
        <w:rPr/>
        <w:t>] [</w:t>
      </w:r>
      <w:r>
        <w:rPr>
          <w:b/>
        </w:rPr>
        <w:t>ANSI Z83.26/CSA 2.37</w:t>
      </w:r>
      <w:r>
        <w:rPr/>
        <w:t>].</w:t>
      </w:r>
    </w:p>
    <w:p>
      <w:pPr>
        <w:pStyle w:val="CMT"/>
        <w:rPr/>
      </w:pPr>
      <w:r>
        <w:rPr/>
        <w:t>Retain one of two subparagraphs below.</w:t>
      </w:r>
    </w:p>
    <w:p>
      <w:pPr>
        <w:pStyle w:val="PR2"/>
        <w:numPr>
          <w:ilvl w:val="5"/>
          <w:numId w:val="1"/>
        </w:numPr>
        <w:spacing w:before="240" w:after="0"/>
        <w:ind w:hanging="0" w:left="0"/>
        <w:rPr/>
      </w:pPr>
      <w:r>
        <w:rPr/>
        <w:t>CSA certified, with CSA Seal and certification number clearly visible on units.</w:t>
      </w:r>
    </w:p>
    <w:p>
      <w:pPr>
        <w:pStyle w:val="PR2"/>
        <w:numPr>
          <w:ilvl w:val="5"/>
          <w:numId w:val="1"/>
        </w:numPr>
        <w:ind w:hanging="0" w:left="0"/>
        <w:rPr/>
      </w:pPr>
      <w:r>
        <w:rPr/>
        <w:t>UL listed and labeled, with UL label clearly visible on units.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Copy this article and re-edit for each product. Insert drawing designation. Use these designations on Drawings to identify each product.</w:t>
      </w:r>
    </w:p>
    <w:p>
      <w:pPr>
        <w:pStyle w:val="ART"/>
        <w:numPr>
          <w:ilvl w:val="3"/>
          <w:numId w:val="1"/>
        </w:numPr>
        <w:ind w:hanging="0" w:left="0"/>
        <w:rPr/>
      </w:pPr>
      <w:r>
        <w:rPr/>
        <w:t>HIGH-INTENSITY, INFRARED, GAS-FIRED, RADIANT HEATERS &lt;</w:t>
      </w:r>
      <w:r>
        <w:rPr>
          <w:b/>
        </w:rPr>
        <w:t>Insert drawing designation</w:t>
      </w:r>
      <w:r>
        <w:rPr/>
        <w:t>&gt;</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Factory-assembled, [</w:t>
      </w:r>
      <w:r>
        <w:rPr>
          <w:b/>
        </w:rPr>
        <w:t>indoor</w:t>
      </w:r>
      <w:r>
        <w:rPr/>
        <w:t>] [</w:t>
      </w:r>
      <w:r>
        <w:rPr>
          <w:b/>
        </w:rPr>
        <w:t>outdoor</w:t>
      </w:r>
      <w:r>
        <w:rPr/>
        <w:t>], overhead-mounted, electrically controlled, high-intensity, infrared, radiant heating units using gas combustion. Heater to have all necessary factory-installed wiring and piping required prior to field installation and startup.</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PR1"/>
        <w:numPr>
          <w:ilvl w:val="4"/>
          <w:numId w:val="1"/>
        </w:numPr>
        <w:ind w:hanging="0" w:left="0"/>
        <w:rPr/>
      </w:pPr>
      <w:r>
        <w:rPr/>
        <w:t>Main Housing: Continuous, one-piece, [</w:t>
      </w:r>
      <w:r>
        <w:rPr>
          <w:b/>
        </w:rPr>
        <w:t>aluminized</w:t>
      </w:r>
      <w:r>
        <w:rPr/>
        <w:t>] [</w:t>
      </w:r>
      <w:r>
        <w:rPr>
          <w:b/>
        </w:rPr>
        <w:t>stainless</w:t>
      </w:r>
      <w:r>
        <w:rPr/>
        <w:t>]-steel unit without gaps between housing and reflectors.</w:t>
      </w:r>
    </w:p>
    <w:p>
      <w:pPr>
        <w:pStyle w:val="PR1"/>
        <w:numPr>
          <w:ilvl w:val="4"/>
          <w:numId w:val="1"/>
        </w:numPr>
        <w:ind w:hanging="0" w:left="0"/>
        <w:rPr/>
      </w:pPr>
      <w:r>
        <w:rPr/>
        <w:t>Burner Assembly:</w:t>
      </w:r>
    </w:p>
    <w:p>
      <w:pPr>
        <w:pStyle w:val="CMT"/>
        <w:rPr/>
      </w:pPr>
      <w:r>
        <w:rPr/>
        <w:t>Retain one of first two options in subparagraph below. Either material may be obtained with or without third option.</w:t>
      </w:r>
    </w:p>
    <w:p>
      <w:pPr>
        <w:pStyle w:val="PR2"/>
        <w:numPr>
          <w:ilvl w:val="5"/>
          <w:numId w:val="1"/>
        </w:numPr>
        <w:spacing w:before="240" w:after="0"/>
        <w:ind w:hanging="0" w:left="0"/>
        <w:rPr/>
      </w:pPr>
      <w:r>
        <w:rPr/>
        <w:t>Modular, [</w:t>
      </w:r>
      <w:r>
        <w:rPr>
          <w:b/>
        </w:rPr>
        <w:t>aluminized steel with powder-coat or similar finish</w:t>
      </w:r>
      <w:r>
        <w:rPr/>
        <w:t>] [</w:t>
      </w:r>
      <w:r>
        <w:rPr>
          <w:b/>
        </w:rPr>
        <w:t>stainless-steel</w:t>
      </w:r>
      <w:r>
        <w:rPr/>
        <w:t>] plenum chamber [</w:t>
      </w:r>
      <w:r>
        <w:rPr>
          <w:b/>
        </w:rPr>
        <w:t>coated with ceramic fiber insulation </w:t>
      </w:r>
      <w:r>
        <w:rPr/>
        <w:t>]secured with stainless-steel retainers.</w:t>
      </w:r>
    </w:p>
    <w:p>
      <w:pPr>
        <w:pStyle w:val="PR1"/>
        <w:numPr>
          <w:ilvl w:val="4"/>
          <w:numId w:val="1"/>
        </w:numPr>
        <w:ind w:hanging="0" w:left="0"/>
        <w:rPr/>
      </w:pPr>
      <w:r>
        <w:rPr/>
        <w:t>Emitter: Perforated ceramic tiles.</w:t>
      </w:r>
    </w:p>
    <w:p>
      <w:pPr>
        <w:pStyle w:val="PR1"/>
        <w:numPr>
          <w:ilvl w:val="4"/>
          <w:numId w:val="1"/>
        </w:numPr>
        <w:ind w:hanging="0" w:left="0"/>
        <w:rPr/>
      </w:pPr>
      <w:r>
        <w:rPr/>
        <w:t>Reflector: [</w:t>
      </w:r>
      <w:r>
        <w:rPr>
          <w:b/>
        </w:rPr>
        <w:t>One-sided, bright-polished aluminum</w:t>
      </w:r>
      <w:r>
        <w:rPr/>
        <w:t>] [</w:t>
      </w:r>
      <w:r>
        <w:rPr>
          <w:b/>
        </w:rPr>
        <w:t>High-grade steel with cold-bonded, polished-aluminum layer</w:t>
      </w:r>
      <w:r>
        <w:rPr/>
        <w:t>] [</w:t>
      </w:r>
      <w:r>
        <w:rPr>
          <w:b/>
        </w:rPr>
        <w:t>Aluminized steel</w:t>
      </w:r>
      <w:r>
        <w:rPr/>
        <w:t>].</w:t>
      </w:r>
    </w:p>
    <w:p>
      <w:pPr>
        <w:pStyle w:val="PR1"/>
        <w:numPr>
          <w:ilvl w:val="4"/>
          <w:numId w:val="1"/>
        </w:numPr>
        <w:ind w:hanging="0" w:left="0"/>
        <w:rPr/>
      </w:pPr>
      <w:r>
        <w:rPr/>
        <w:t>Ignition:</w:t>
      </w:r>
    </w:p>
    <w:p>
      <w:pPr>
        <w:pStyle w:val="CMT"/>
        <w:rPr/>
      </w:pPr>
      <w:r>
        <w:rPr/>
        <w:t>Retain "Manual Pilot" Subparagraph below if heater is used in an indoor application.</w:t>
      </w:r>
    </w:p>
    <w:p>
      <w:pPr>
        <w:pStyle w:val="PR2"/>
        <w:numPr>
          <w:ilvl w:val="5"/>
          <w:numId w:val="1"/>
        </w:numPr>
        <w:spacing w:before="240" w:after="0"/>
        <w:ind w:hanging="0" w:left="0"/>
        <w:rPr/>
      </w:pPr>
      <w:r>
        <w:rPr/>
        <w:t>Manual Pilot: Self-energizing with no external power connection.</w:t>
      </w:r>
    </w:p>
    <w:p>
      <w:pPr>
        <w:pStyle w:val="PR2"/>
        <w:numPr>
          <w:ilvl w:val="5"/>
          <w:numId w:val="1"/>
        </w:numPr>
        <w:ind w:hanging="0" w:left="0"/>
        <w:rPr/>
      </w:pPr>
      <w:r>
        <w:rPr/>
        <w:t>Direct Spark: [</w:t>
      </w:r>
      <w:r>
        <w:rPr>
          <w:b/>
        </w:rPr>
        <w:t>24/25</w:t>
      </w:r>
      <w:r>
        <w:rPr/>
        <w:t>] [</w:t>
      </w:r>
      <w:r>
        <w:rPr>
          <w:b/>
        </w:rPr>
        <w:t>115/120</w:t>
      </w:r>
      <w:r>
        <w:rPr/>
        <w:t>]-V ac, solid-state ignition module with spark electrode and flame sensor.</w:t>
      </w:r>
    </w:p>
    <w:p>
      <w:pPr>
        <w:pStyle w:val="CMT"/>
        <w:rPr/>
      </w:pPr>
      <w:r>
        <w:rPr/>
        <w:t>"Potted circuitry" Subparagraph below is primarily for outdoor applications; however, it may be required for some indoor applications. Consult manufacturers for applications in environments with high humidity or moisture levels.</w:t>
      </w:r>
    </w:p>
    <w:p>
      <w:pPr>
        <w:pStyle w:val="PR2"/>
        <w:numPr>
          <w:ilvl w:val="5"/>
          <w:numId w:val="1"/>
        </w:numPr>
        <w:ind w:hanging="0" w:left="0"/>
        <w:rPr/>
      </w:pPr>
      <w:r>
        <w:rPr/>
        <w:t>Potted circuitry.</w:t>
      </w:r>
    </w:p>
    <w:p>
      <w:pPr>
        <w:pStyle w:val="PR1"/>
        <w:numPr>
          <w:ilvl w:val="4"/>
          <w:numId w:val="1"/>
        </w:numPr>
        <w:ind w:hanging="0" w:left="0"/>
        <w:rPr/>
      </w:pPr>
      <w:r>
        <w:rPr/>
        <w:t>Accessories:</w:t>
      </w:r>
    </w:p>
    <w:p>
      <w:pPr>
        <w:pStyle w:val="CMT"/>
        <w:rPr/>
      </w:pPr>
      <w:r>
        <w:rPr/>
        <w:t>Verify that required accessories retained in subparagraphs below are available from manufacturers retained in "Manufacturers" or "Basis-of-Design Product" Paragraph above.</w:t>
      </w:r>
    </w:p>
    <w:p>
      <w:pPr>
        <w:pStyle w:val="PR2"/>
        <w:numPr>
          <w:ilvl w:val="5"/>
          <w:numId w:val="1"/>
        </w:numPr>
        <w:spacing w:before="240" w:after="0"/>
        <w:ind w:hanging="0" w:left="0"/>
        <w:rPr/>
      </w:pPr>
      <w:r>
        <w:rPr/>
        <w:t>[</w:t>
      </w:r>
      <w:r>
        <w:rPr>
          <w:b/>
        </w:rPr>
        <w:t>Parabolic reflector</w:t>
      </w:r>
      <w:r>
        <w:rPr/>
        <w:t>] [</w:t>
      </w:r>
      <w:r>
        <w:rPr>
          <w:b/>
        </w:rPr>
        <w:t>Reflector extensions</w:t>
      </w:r>
      <w:r>
        <w:rPr/>
        <w:t>].</w:t>
      </w:r>
    </w:p>
    <w:p>
      <w:pPr>
        <w:pStyle w:val="PR2"/>
        <w:numPr>
          <w:ilvl w:val="5"/>
          <w:numId w:val="1"/>
        </w:numPr>
        <w:ind w:hanging="0" w:left="0"/>
        <w:rPr/>
      </w:pPr>
      <w:r>
        <w:rPr/>
        <w:t>Wire grid or expanded metal secondary emitter for increased efficiency.</w:t>
      </w:r>
    </w:p>
    <w:p>
      <w:pPr>
        <w:pStyle w:val="PR2"/>
        <w:numPr>
          <w:ilvl w:val="5"/>
          <w:numId w:val="1"/>
        </w:numPr>
        <w:ind w:hanging="0" w:left="0"/>
        <w:rPr/>
      </w:pPr>
      <w:r>
        <w:rPr/>
        <w:t>Protective screen and heat-deflector shield.</w:t>
      </w:r>
    </w:p>
    <w:p>
      <w:pPr>
        <w:pStyle w:val="PR2"/>
        <w:numPr>
          <w:ilvl w:val="5"/>
          <w:numId w:val="1"/>
        </w:numPr>
        <w:ind w:hanging="0" w:left="0"/>
        <w:rPr/>
      </w:pPr>
      <w:r>
        <w:rPr/>
        <w:t>Stainless-steel flexible connector with manual valve for gas supply.</w:t>
      </w:r>
    </w:p>
    <w:p>
      <w:pPr>
        <w:pStyle w:val="PR2"/>
        <w:numPr>
          <w:ilvl w:val="5"/>
          <w:numId w:val="1"/>
        </w:numPr>
        <w:ind w:hanging="0" w:left="0"/>
        <w:rPr/>
      </w:pPr>
      <w:r>
        <w:rPr/>
        <w:t>Hanger chain with "S" hooks.</w:t>
      </w:r>
    </w:p>
    <w:p>
      <w:pPr>
        <w:pStyle w:val="PR2"/>
        <w:numPr>
          <w:ilvl w:val="5"/>
          <w:numId w:val="1"/>
        </w:numPr>
        <w:ind w:hanging="0" w:left="0"/>
        <w:rPr/>
      </w:pPr>
      <w:r>
        <w:rPr/>
        <w:t>Preassembled chain suspension kit.</w:t>
      </w:r>
    </w:p>
    <w:p>
      <w:pPr>
        <w:pStyle w:val="PR2"/>
        <w:numPr>
          <w:ilvl w:val="5"/>
          <w:numId w:val="1"/>
        </w:numPr>
        <w:ind w:hanging="0" w:left="0"/>
        <w:rPr/>
      </w:pPr>
      <w:r>
        <w:rPr/>
        <w:t>Rigid mounting kits.</w:t>
      </w:r>
    </w:p>
    <w:p>
      <w:pPr>
        <w:pStyle w:val="PR2"/>
        <w:numPr>
          <w:ilvl w:val="5"/>
          <w:numId w:val="1"/>
        </w:numPr>
        <w:ind w:hanging="0" w:left="0"/>
        <w:rPr/>
      </w:pPr>
      <w:r>
        <w:rPr/>
        <w:t>Clearance warning plaque.</w:t>
      </w:r>
    </w:p>
    <w:p>
      <w:pPr>
        <w:pStyle w:val="CMT"/>
        <w:rPr/>
      </w:pPr>
      <w:r>
        <w:rPr/>
        <w:t>"Two-stage operation" Subparagraph below requires two-stage thermostat option in "Controls and Safeties" Article.</w:t>
      </w:r>
    </w:p>
    <w:p>
      <w:pPr>
        <w:pStyle w:val="PR2"/>
        <w:numPr>
          <w:ilvl w:val="5"/>
          <w:numId w:val="1"/>
        </w:numPr>
        <w:ind w:hanging="0" w:left="0"/>
        <w:rPr/>
      </w:pPr>
      <w:r>
        <w:rPr/>
        <w:t>Two-stage operation.</w:t>
      </w:r>
    </w:p>
    <w:p>
      <w:pPr>
        <w:pStyle w:val="CMT"/>
        <w:rPr/>
      </w:pPr>
      <w:r>
        <w:rPr/>
        <w:t>If Project has more than one type or configuration of high-intensity, infrared, gas-fired, radiant heater, delete "Capacities and Characteristics" Paragraph below and schedule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Millivolt</w:t>
      </w:r>
      <w:r>
        <w:rPr/>
        <w:t>] [</w:t>
      </w:r>
      <w:r>
        <w:rPr>
          <w:b/>
        </w:rPr>
        <w:t>24/25</w:t>
      </w:r>
      <w:r>
        <w:rPr/>
        <w:t>] [</w:t>
      </w:r>
      <w:r>
        <w:rPr>
          <w:b/>
        </w:rPr>
        <w:t>115/120</w:t>
      </w:r>
      <w:r>
        <w:rPr/>
        <w:t>] &lt;</w:t>
      </w:r>
      <w:r>
        <w:rPr>
          <w:b/>
        </w:rPr>
        <w:t>Insert value</w:t>
      </w:r>
      <w:r>
        <w:rPr/>
        <w:t>&gt;.</w:t>
      </w:r>
    </w:p>
    <w:p>
      <w:pPr>
        <w:pStyle w:val="PR3"/>
        <w:numPr>
          <w:ilvl w:val="6"/>
          <w:numId w:val="1"/>
        </w:numPr>
        <w:ind w:hanging="0" w:left="0"/>
        <w:rPr/>
      </w:pPr>
      <w:r>
        <w:rPr/>
        <w:t>Phase: Single.</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Retain "Mounting Angle" Paragraph below if heaters are all mounted at same angle. Delete paragraph if angle is indicated on Drawings. Heaters can be mounted horizontal or to any angle up to and including 35 degrees from horizontal.</w:t>
      </w:r>
    </w:p>
    <w:p>
      <w:pPr>
        <w:pStyle w:val="PR1"/>
        <w:numPr>
          <w:ilvl w:val="4"/>
          <w:numId w:val="1"/>
        </w:numPr>
        <w:ind w:hanging="0" w:left="0"/>
        <w:rPr/>
      </w:pPr>
      <w:r>
        <w:rPr/>
        <w:t>Mounting Angle: &lt;</w:t>
      </w:r>
      <w:r>
        <w:rPr>
          <w:b/>
        </w:rPr>
        <w:t>Insert value</w:t>
      </w:r>
      <w:r>
        <w:rPr/>
        <w:t>&gt; degrees.</w:t>
      </w:r>
    </w:p>
    <w:p>
      <w:pPr>
        <w:pStyle w:val="CMT"/>
        <w:rPr/>
      </w:pPr>
      <w:r>
        <w:rPr/>
        <w:t>Copy this article and re-edit for each product. Insert drawing designation. Use these designations on Drawings to identify each product.</w:t>
      </w:r>
    </w:p>
    <w:p>
      <w:pPr>
        <w:pStyle w:val="ART"/>
        <w:numPr>
          <w:ilvl w:val="3"/>
          <w:numId w:val="1"/>
        </w:numPr>
        <w:ind w:hanging="0" w:left="0"/>
        <w:rPr/>
      </w:pPr>
      <w:r>
        <w:rPr/>
        <w:t>GAS-FIRED, OUTDOOR, INFRARED PATIO HEATERS &lt;</w:t>
      </w:r>
      <w:r>
        <w:rPr>
          <w:b/>
        </w:rPr>
        <w:t>Insert drawing designation</w:t>
      </w:r>
      <w:r>
        <w:rPr/>
        <w:t>&gt;</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Factory-assembled, [</w:t>
      </w:r>
      <w:r>
        <w:rPr>
          <w:b/>
        </w:rPr>
        <w:t>indoor</w:t>
      </w:r>
      <w:r>
        <w:rPr/>
        <w:t>] [</w:t>
      </w:r>
      <w:r>
        <w:rPr>
          <w:b/>
        </w:rPr>
        <w:t>outdoor</w:t>
      </w:r>
      <w:r>
        <w:rPr/>
        <w:t>], overhead-mounted, electrically controlled, high-intensity, infrared, radiant heating units using gas combustion. Heater to have all necessary factory-installed wiring and piping required prior to field installation and startup.</w:t>
      </w:r>
    </w:p>
    <w:p>
      <w:pPr>
        <w:pStyle w:val="PR1"/>
        <w:numPr>
          <w:ilvl w:val="4"/>
          <w:numId w:val="1"/>
        </w:numPr>
        <w:ind w:hanging="0" w:left="0"/>
        <w:rPr/>
      </w:pPr>
      <w:r>
        <w:rPr/>
        <w:t>Fuel Type: Design burner for [</w:t>
      </w:r>
      <w:r>
        <w:rPr>
          <w:b/>
        </w:rPr>
        <w:t>natural</w:t>
      </w:r>
      <w:r>
        <w:rPr/>
        <w:t>] [</w:t>
      </w:r>
      <w:r>
        <w:rPr>
          <w:b/>
        </w:rPr>
        <w:t>propane</w:t>
      </w:r>
      <w:r>
        <w:rPr/>
        <w:t>] gas having characteristics same as those of gas available at Project site.</w:t>
      </w:r>
    </w:p>
    <w:p>
      <w:pPr>
        <w:pStyle w:val="PR1"/>
        <w:numPr>
          <w:ilvl w:val="4"/>
          <w:numId w:val="1"/>
        </w:numPr>
        <w:ind w:hanging="0" w:left="0"/>
        <w:rPr/>
      </w:pPr>
      <w:r>
        <w:rPr/>
        <w:t>Main Housing: Continuous, one-piece, [</w:t>
      </w:r>
      <w:r>
        <w:rPr>
          <w:b/>
        </w:rPr>
        <w:t>aluminized</w:t>
      </w:r>
      <w:r>
        <w:rPr/>
        <w:t>] [</w:t>
      </w:r>
      <w:r>
        <w:rPr>
          <w:b/>
        </w:rPr>
        <w:t>stainless</w:t>
      </w:r>
      <w:r>
        <w:rPr/>
        <w:t>]-steel unit without gaps between housing and reflectors.</w:t>
      </w:r>
    </w:p>
    <w:p>
      <w:pPr>
        <w:pStyle w:val="PR2"/>
        <w:numPr>
          <w:ilvl w:val="5"/>
          <w:numId w:val="1"/>
        </w:numPr>
        <w:spacing w:before="240" w:after="0"/>
        <w:ind w:hanging="0" w:left="0"/>
        <w:rPr/>
      </w:pPr>
      <w:r>
        <w:rPr/>
        <w:t>Air vents with cooling channels.</w:t>
      </w:r>
    </w:p>
    <w:p>
      <w:pPr>
        <w:pStyle w:val="PR2"/>
        <w:numPr>
          <w:ilvl w:val="5"/>
          <w:numId w:val="1"/>
        </w:numPr>
        <w:ind w:hanging="0" w:left="0"/>
        <w:rPr/>
      </w:pPr>
      <w:r>
        <w:rPr/>
        <w:t>Air louvers.</w:t>
      </w:r>
    </w:p>
    <w:p>
      <w:pPr>
        <w:pStyle w:val="PR2"/>
        <w:numPr>
          <w:ilvl w:val="5"/>
          <w:numId w:val="1"/>
        </w:numPr>
        <w:ind w:hanging="0" w:left="0"/>
        <w:rPr/>
      </w:pPr>
      <w:r>
        <w:rPr/>
        <w:t>Decorative grill.</w:t>
      </w:r>
    </w:p>
    <w:p>
      <w:pPr>
        <w:pStyle w:val="PR1"/>
        <w:numPr>
          <w:ilvl w:val="4"/>
          <w:numId w:val="1"/>
        </w:numPr>
        <w:ind w:hanging="0" w:left="0"/>
        <w:rPr/>
      </w:pPr>
      <w:r>
        <w:rPr/>
        <w:t>Burner Assembly:</w:t>
      </w:r>
    </w:p>
    <w:p>
      <w:pPr>
        <w:pStyle w:val="CMT"/>
        <w:rPr/>
      </w:pPr>
      <w:r>
        <w:rPr/>
        <w:t>Retain one of first two options in subparagraph below. Either material may be obtained with or without third option.</w:t>
      </w:r>
    </w:p>
    <w:p>
      <w:pPr>
        <w:pStyle w:val="PR2"/>
        <w:numPr>
          <w:ilvl w:val="5"/>
          <w:numId w:val="1"/>
        </w:numPr>
        <w:spacing w:before="240" w:after="0"/>
        <w:ind w:hanging="0" w:left="0"/>
        <w:rPr/>
      </w:pPr>
      <w:r>
        <w:rPr/>
        <w:t>Modular, [</w:t>
      </w:r>
      <w:r>
        <w:rPr>
          <w:b/>
        </w:rPr>
        <w:t>aluminized-steel with powder-coat or similar finish</w:t>
      </w:r>
      <w:r>
        <w:rPr/>
        <w:t>] [</w:t>
      </w:r>
      <w:r>
        <w:rPr>
          <w:b/>
        </w:rPr>
        <w:t>stainless-steel</w:t>
      </w:r>
      <w:r>
        <w:rPr/>
        <w:t>] plenum chamber [</w:t>
      </w:r>
      <w:r>
        <w:rPr>
          <w:b/>
        </w:rPr>
        <w:t>coated with ceramic fiber insulation </w:t>
      </w:r>
      <w:r>
        <w:rPr/>
        <w:t>]secured with stainless-steel retainers.</w:t>
      </w:r>
    </w:p>
    <w:p>
      <w:pPr>
        <w:pStyle w:val="PR1"/>
        <w:numPr>
          <w:ilvl w:val="4"/>
          <w:numId w:val="1"/>
        </w:numPr>
        <w:ind w:hanging="0" w:left="0"/>
        <w:rPr/>
      </w:pPr>
      <w:r>
        <w:rPr/>
        <w:t>Emitter: Perforated ceramic tiles.</w:t>
      </w:r>
    </w:p>
    <w:p>
      <w:pPr>
        <w:pStyle w:val="PR1"/>
        <w:numPr>
          <w:ilvl w:val="4"/>
          <w:numId w:val="1"/>
        </w:numPr>
        <w:ind w:hanging="0" w:left="0"/>
        <w:rPr/>
      </w:pPr>
      <w:r>
        <w:rPr/>
        <w:t>Reflector: [</w:t>
      </w:r>
      <w:r>
        <w:rPr>
          <w:b/>
        </w:rPr>
        <w:t>Polished stainless steel</w:t>
      </w:r>
      <w:r>
        <w:rPr/>
        <w:t>] &lt;</w:t>
      </w:r>
      <w:r>
        <w:rPr>
          <w:b/>
        </w:rPr>
        <w:t>Insert material</w:t>
      </w:r>
      <w:r>
        <w:rPr/>
        <w:t>&gt;.</w:t>
      </w:r>
    </w:p>
    <w:p>
      <w:pPr>
        <w:pStyle w:val="PR1"/>
        <w:numPr>
          <w:ilvl w:val="4"/>
          <w:numId w:val="1"/>
        </w:numPr>
        <w:ind w:hanging="0" w:left="0"/>
        <w:rPr/>
      </w:pPr>
      <w:r>
        <w:rPr/>
        <w:t>Ignition:</w:t>
      </w:r>
    </w:p>
    <w:p>
      <w:pPr>
        <w:pStyle w:val="PR2"/>
        <w:numPr>
          <w:ilvl w:val="5"/>
          <w:numId w:val="1"/>
        </w:numPr>
        <w:spacing w:before="240" w:after="0"/>
        <w:ind w:hanging="0" w:left="0"/>
        <w:rPr/>
      </w:pPr>
      <w:r>
        <w:rPr/>
        <w:t>Direct Spark: [</w:t>
      </w:r>
      <w:r>
        <w:rPr>
          <w:b/>
        </w:rPr>
        <w:t>24/25</w:t>
      </w:r>
      <w:r>
        <w:rPr/>
        <w:t>] [</w:t>
      </w:r>
      <w:r>
        <w:rPr>
          <w:b/>
        </w:rPr>
        <w:t>115/120</w:t>
      </w:r>
      <w:r>
        <w:rPr/>
        <w:t>]-V ac, solid-state ignition module with spark electrode and flame sensor.</w:t>
      </w:r>
    </w:p>
    <w:p>
      <w:pPr>
        <w:pStyle w:val="CMT"/>
        <w:rPr/>
      </w:pPr>
      <w:r>
        <w:rPr/>
        <w:t>"Potted circuitry" Subparagraph below is primarily for outdoor applications; however, it may be required for some indoor applications. Consult manufacturers for applications in environments with high humidity or moisture levels.</w:t>
      </w:r>
    </w:p>
    <w:p>
      <w:pPr>
        <w:pStyle w:val="PR2"/>
        <w:numPr>
          <w:ilvl w:val="5"/>
          <w:numId w:val="1"/>
        </w:numPr>
        <w:ind w:hanging="0" w:left="0"/>
        <w:rPr/>
      </w:pPr>
      <w:r>
        <w:rPr/>
        <w:t>Potted circuitry.</w:t>
      </w:r>
    </w:p>
    <w:p>
      <w:pPr>
        <w:pStyle w:val="PR1"/>
        <w:numPr>
          <w:ilvl w:val="4"/>
          <w:numId w:val="1"/>
        </w:numPr>
        <w:ind w:hanging="0" w:left="0"/>
        <w:rPr/>
      </w:pPr>
      <w:r>
        <w:rPr/>
        <w:t>Accessories:</w:t>
      </w:r>
    </w:p>
    <w:p>
      <w:pPr>
        <w:pStyle w:val="CMT"/>
        <w:rPr/>
      </w:pPr>
      <w:r>
        <w:rPr/>
        <w:t>Verify that required accessories retained in subparagraphs below are available from manufacturers retained in "Manufacturers" or "Basis-of-Design Product" Paragraph above.</w:t>
      </w:r>
    </w:p>
    <w:p>
      <w:pPr>
        <w:pStyle w:val="PR2"/>
        <w:numPr>
          <w:ilvl w:val="5"/>
          <w:numId w:val="1"/>
        </w:numPr>
        <w:spacing w:before="240" w:after="0"/>
        <w:ind w:hanging="0" w:left="0"/>
        <w:rPr/>
      </w:pPr>
      <w:r>
        <w:rPr/>
        <w:t>Wire grid or expanded metal secondary emitter for increased efficiency.</w:t>
      </w:r>
    </w:p>
    <w:p>
      <w:pPr>
        <w:pStyle w:val="PR2"/>
        <w:numPr>
          <w:ilvl w:val="5"/>
          <w:numId w:val="1"/>
        </w:numPr>
        <w:ind w:hanging="0" w:left="0"/>
        <w:rPr/>
      </w:pPr>
      <w:r>
        <w:rPr/>
        <w:t>Protective screen and heat-deflector shield.</w:t>
      </w:r>
    </w:p>
    <w:p>
      <w:pPr>
        <w:pStyle w:val="PR2"/>
        <w:numPr>
          <w:ilvl w:val="5"/>
          <w:numId w:val="1"/>
        </w:numPr>
        <w:ind w:hanging="0" w:left="0"/>
        <w:rPr/>
      </w:pPr>
      <w:r>
        <w:rPr/>
        <w:t>Stainless-steel flexible connector with manual valve for gas supply.</w:t>
      </w:r>
    </w:p>
    <w:p>
      <w:pPr>
        <w:pStyle w:val="PR2"/>
        <w:numPr>
          <w:ilvl w:val="5"/>
          <w:numId w:val="1"/>
        </w:numPr>
        <w:ind w:hanging="0" w:left="0"/>
        <w:rPr/>
      </w:pPr>
      <w:r>
        <w:rPr/>
        <w:t>Hanger chain with "S" hooks.</w:t>
      </w:r>
    </w:p>
    <w:p>
      <w:pPr>
        <w:pStyle w:val="PR2"/>
        <w:numPr>
          <w:ilvl w:val="5"/>
          <w:numId w:val="1"/>
        </w:numPr>
        <w:ind w:hanging="0" w:left="0"/>
        <w:rPr/>
      </w:pPr>
      <w:r>
        <w:rPr/>
        <w:t>Preassembled chain suspension kit.</w:t>
      </w:r>
    </w:p>
    <w:p>
      <w:pPr>
        <w:pStyle w:val="PR2"/>
        <w:numPr>
          <w:ilvl w:val="5"/>
          <w:numId w:val="1"/>
        </w:numPr>
        <w:ind w:hanging="0" w:left="0"/>
        <w:rPr/>
      </w:pPr>
      <w:r>
        <w:rPr/>
        <w:t>Rigid mounting kits.</w:t>
      </w:r>
    </w:p>
    <w:p>
      <w:pPr>
        <w:pStyle w:val="PR2"/>
        <w:numPr>
          <w:ilvl w:val="5"/>
          <w:numId w:val="1"/>
        </w:numPr>
        <w:ind w:hanging="0" w:left="0"/>
        <w:rPr/>
      </w:pPr>
      <w:r>
        <w:rPr/>
        <w:t>Clearance warning plaque.</w:t>
      </w:r>
    </w:p>
    <w:p>
      <w:pPr>
        <w:pStyle w:val="CMT"/>
        <w:rPr/>
      </w:pPr>
      <w:r>
        <w:rPr/>
        <w:t>If Project has more than one type or configuration of gas-fired, outdoor, infrared patio heater, delete "Capacities and Characteristics" Paragraph below and schedule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Gas Input: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Gas Output: &lt;</w:t>
      </w:r>
      <w:r>
        <w:rPr>
          <w:b/>
        </w:rPr>
        <w:t xml:space="preserve">Insert </w:t>
      </w:r>
      <w:r>
        <w:rPr>
          <w:rStyle w:val="IP"/>
          <w:b/>
        </w:rPr>
        <w:t>Btu/h</w:t>
      </w:r>
      <w:r>
        <w:rPr>
          <w:rStyle w:val="SI"/>
          <w:b/>
        </w:rPr>
        <w:t xml:space="preserve"> (kW)</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24/25</w:t>
      </w:r>
      <w:r>
        <w:rPr/>
        <w:t>] [</w:t>
      </w:r>
      <w:r>
        <w:rPr>
          <w:b/>
        </w:rPr>
        <w:t>115/120</w:t>
      </w:r>
      <w:r>
        <w:rPr/>
        <w:t>] &lt;</w:t>
      </w:r>
      <w:r>
        <w:rPr>
          <w:b/>
        </w:rPr>
        <w:t>Insert value</w:t>
      </w:r>
      <w:r>
        <w:rPr/>
        <w:t>&gt;.</w:t>
      </w:r>
    </w:p>
    <w:p>
      <w:pPr>
        <w:pStyle w:val="PR3"/>
        <w:numPr>
          <w:ilvl w:val="6"/>
          <w:numId w:val="1"/>
        </w:numPr>
        <w:ind w:hanging="0" w:left="0"/>
        <w:rPr/>
      </w:pPr>
      <w:r>
        <w:rPr/>
        <w:t>Phase: Single.</w:t>
      </w:r>
    </w:p>
    <w:p>
      <w:pPr>
        <w:pStyle w:val="PR3"/>
        <w:numPr>
          <w:ilvl w:val="6"/>
          <w:numId w:val="1"/>
        </w:numPr>
        <w:ind w:hanging="0" w:left="0"/>
        <w:rPr/>
      </w:pPr>
      <w:r>
        <w:rPr/>
        <w:t>Hertz: 60.</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CMT"/>
        <w:rPr/>
      </w:pPr>
      <w:r>
        <w:rPr/>
        <w:t>Heaters can be mounted horizontal or to any angle up to and including 35 degrees from horizontal. Retain "Mounting Angle" Paragraph below if angle is not indicated on Drawings.</w:t>
      </w:r>
    </w:p>
    <w:p>
      <w:pPr>
        <w:pStyle w:val="PR1"/>
        <w:numPr>
          <w:ilvl w:val="4"/>
          <w:numId w:val="1"/>
        </w:numPr>
        <w:ind w:hanging="0" w:left="0"/>
        <w:rPr/>
      </w:pPr>
      <w:r>
        <w:rPr/>
        <w:t>Mounting Angle: &lt;</w:t>
      </w:r>
      <w:r>
        <w:rPr>
          <w:b/>
        </w:rPr>
        <w:t>Insert value</w:t>
      </w:r>
      <w:r>
        <w:rPr/>
        <w:t>&gt; degrees.</w:t>
      </w:r>
    </w:p>
    <w:p>
      <w:pPr>
        <w:pStyle w:val="ART"/>
        <w:numPr>
          <w:ilvl w:val="3"/>
          <w:numId w:val="1"/>
        </w:numPr>
        <w:ind w:hanging="0" w:left="0"/>
        <w:rPr/>
      </w:pPr>
      <w:r>
        <w:rPr/>
        <w:t>CONTROLS AND SAFETIES</w:t>
      </w:r>
    </w:p>
    <w:p>
      <w:pPr>
        <w:pStyle w:val="CMT"/>
        <w:rPr/>
      </w:pPr>
      <w:r>
        <w:rPr/>
        <w:t>Retain first option in "Failure Safeguards" Paragraph below if the unit has a manual pilot and there is no power supplied to the unit. Otherwise, retain second option below.</w:t>
      </w:r>
    </w:p>
    <w:p>
      <w:pPr>
        <w:pStyle w:val="PR1"/>
        <w:numPr>
          <w:ilvl w:val="4"/>
          <w:numId w:val="1"/>
        </w:numPr>
        <w:ind w:hanging="0" w:left="0"/>
        <w:rPr/>
      </w:pPr>
      <w:r>
        <w:rPr/>
        <w:t>Failure Safeguards: 100 percent main gas shutoff on [</w:t>
      </w:r>
      <w:r>
        <w:rPr>
          <w:b/>
        </w:rPr>
        <w:t>pilot</w:t>
      </w:r>
      <w:r>
        <w:rPr/>
        <w:t>] [</w:t>
      </w:r>
      <w:r>
        <w:rPr>
          <w:b/>
        </w:rPr>
        <w:t>pilot or power</w:t>
      </w:r>
      <w:r>
        <w:rPr/>
        <w:t>] failure.</w:t>
      </w:r>
    </w:p>
    <w:p>
      <w:pPr>
        <w:pStyle w:val="CMT"/>
        <w:rPr/>
      </w:pPr>
      <w:r>
        <w:rPr/>
        <w:t>Retain one of three "Thermostat" Paragraphs below. Note that thermostats may not be supplied with some units.</w:t>
      </w:r>
    </w:p>
    <w:p>
      <w:pPr>
        <w:pStyle w:val="PR1"/>
        <w:numPr>
          <w:ilvl w:val="4"/>
          <w:numId w:val="1"/>
        </w:numPr>
        <w:ind w:hanging="0" w:left="0"/>
        <w:rPr/>
      </w:pPr>
      <w:r>
        <w:rPr/>
        <w:t>Thermostat: Devices and wiring are specified in Section 230923.27 "Temperature Instruments."</w:t>
      </w:r>
    </w:p>
    <w:p>
      <w:pPr>
        <w:pStyle w:val="PR1"/>
        <w:numPr>
          <w:ilvl w:val="4"/>
          <w:numId w:val="1"/>
        </w:numPr>
        <w:ind w:hanging="0" w:left="0"/>
        <w:rPr/>
      </w:pPr>
      <w:r>
        <w:rPr/>
        <w:t xml:space="preserve">Thermostat: Single-stage,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spacing w:before="240" w:after="0"/>
        <w:ind w:hanging="0" w:left="0"/>
        <w:rPr/>
      </w:pPr>
      <w:r>
        <w:rPr/>
        <w:t>Control Transformer: Integrally mounted.</w:t>
      </w:r>
    </w:p>
    <w:p>
      <w:pPr>
        <w:pStyle w:val="PR1"/>
        <w:numPr>
          <w:ilvl w:val="4"/>
          <w:numId w:val="1"/>
        </w:numPr>
        <w:ind w:hanging="0" w:left="0"/>
        <w:rPr/>
      </w:pPr>
      <w:r>
        <w:rPr/>
        <w:t xml:space="preserve">Thermostat: Two-stage, wall-mounted type with </w:t>
      </w:r>
      <w:r>
        <w:rPr>
          <w:rStyle w:val="IP"/>
        </w:rPr>
        <w:t>50 to 90 deg F</w:t>
      </w:r>
      <w:r>
        <w:rPr>
          <w:rStyle w:val="SI"/>
        </w:rPr>
        <w:t xml:space="preserve"> (10 to 32 deg C)</w:t>
      </w:r>
      <w:r>
        <w:rPr/>
        <w:t xml:space="preserve"> operating range and fan on switch.</w:t>
      </w:r>
    </w:p>
    <w:p>
      <w:pPr>
        <w:pStyle w:val="PR2"/>
        <w:numPr>
          <w:ilvl w:val="5"/>
          <w:numId w:val="1"/>
        </w:numPr>
        <w:spacing w:before="240" w:after="0"/>
        <w:ind w:hanging="0" w:left="0"/>
        <w:rPr/>
      </w:pPr>
      <w:r>
        <w:rPr/>
        <w:t>Control Transformer: Integrally mounted.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structures, substrates, areas and conditions, with Installer present, for compliance with requirements for installation tolerances, required clearances, and other conditions affecting performance of the Work.</w:t>
      </w:r>
    </w:p>
    <w:p>
      <w:pPr>
        <w:pStyle w:val="PR1"/>
        <w:numPr>
          <w:ilvl w:val="4"/>
          <w:numId w:val="1"/>
        </w:numPr>
        <w:ind w:hanging="0" w:left="0"/>
        <w:rPr/>
      </w:pPr>
      <w:r>
        <w:rPr/>
        <w:t>Examine roughing-in for fuel-gas piping to verify actual locations of piping connections before equipment installation.</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"Equipment Mounting" Paragraph below to require equipment to be suspended from structure.</w:t>
      </w:r>
    </w:p>
    <w:p>
      <w:pPr>
        <w:pStyle w:val="PR1"/>
        <w:numPr>
          <w:ilvl w:val="4"/>
          <w:numId w:val="1"/>
        </w:numPr>
        <w:ind w:hanging="0" w:left="0"/>
        <w:rPr/>
      </w:pPr>
      <w:r>
        <w:rPr/>
        <w:t>Equipment Mounting: Install gas-fired, infrared heaters with continuous-thread hanger rods and spring hangers[</w:t>
      </w:r>
      <w:r>
        <w:rPr>
          <w:b/>
        </w:rPr>
        <w:t> with vertical-limit stop</w:t>
      </w:r>
      <w:r>
        <w:rPr/>
        <w:t>] of size required to support weight of heaters.</w:t>
      </w:r>
    </w:p>
    <w:p>
      <w:pPr>
        <w:pStyle w:val="CMT"/>
        <w:rPr/>
      </w:pPr>
      <w:r>
        <w:rPr/>
        <w:t>Retain one of first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spacing w:before="240" w:after="0"/>
        <w:ind w:hanging="0" w:left="0"/>
        <w:rPr/>
      </w:pPr>
      <w:r>
        <w:rPr/>
        <w:t>Comply with requirements for vibration isolation and seismic control devices specified in Section 230548 "Vibration and Seismic Controls for HVAC."</w:t>
      </w:r>
    </w:p>
    <w:p>
      <w:pPr>
        <w:pStyle w:val="PR2"/>
        <w:numPr>
          <w:ilvl w:val="5"/>
          <w:numId w:val="1"/>
        </w:numPr>
        <w:ind w:hanging="0" w:left="0"/>
        <w:rPr/>
      </w:pPr>
      <w:r>
        <w:rPr/>
        <w:t>Comply with requirements for vibration isolation devices specified in Section 230548.13 "Vibration Controls for HVAC."</w:t>
      </w:r>
    </w:p>
    <w:p>
      <w:pPr>
        <w:pStyle w:val="PR2"/>
        <w:numPr>
          <w:ilvl w:val="5"/>
          <w:numId w:val="1"/>
        </w:numPr>
        <w:ind w:hanging="0" w:left="0"/>
        <w:rPr/>
      </w:pPr>
      <w:r>
        <w:rPr/>
        <w:t>Comply with requirements for hangers and supports specified in Section 230529 "Hangers and Supports for HVAC Piping and Equipment."</w:t>
      </w:r>
    </w:p>
    <w:p>
      <w:pPr>
        <w:pStyle w:val="PR1"/>
        <w:numPr>
          <w:ilvl w:val="4"/>
          <w:numId w:val="1"/>
        </w:numPr>
        <w:ind w:hanging="0" w:left="0"/>
        <w:rPr/>
      </w:pPr>
      <w:r>
        <w:rPr/>
        <w:t>Equipment Installation: Install gas-fired, radiant heaters and associated gas features and systems according to [</w:t>
      </w:r>
      <w:r>
        <w:rPr>
          <w:b/>
        </w:rPr>
        <w:t>NFPA 54</w:t>
      </w:r>
      <w:r>
        <w:rPr/>
        <w:t>] [</w:t>
      </w:r>
      <w:r>
        <w:rPr>
          <w:b/>
        </w:rPr>
        <w:t>CSA B149.1</w:t>
      </w:r>
      <w:r>
        <w:rPr/>
        <w:t>].</w:t>
      </w:r>
    </w:p>
    <w:p>
      <w:pPr>
        <w:pStyle w:val="PR1"/>
        <w:numPr>
          <w:ilvl w:val="4"/>
          <w:numId w:val="1"/>
        </w:numPr>
        <w:ind w:hanging="0" w:left="0"/>
        <w:rPr/>
      </w:pPr>
      <w:r>
        <w:rPr/>
        <w:t>Suspended Units: [</w:t>
      </w:r>
      <w:r>
        <w:rPr>
          <w:b/>
        </w:rPr>
        <w:t>Suspend from substrate using chain hanger kits and building attachments</w:t>
      </w:r>
      <w:r>
        <w:rPr/>
        <w:t>] [</w:t>
      </w:r>
      <w:r>
        <w:rPr>
          <w:b/>
        </w:rPr>
        <w:t>Mount to substrate using rigid mounting kits or brackets, supplied by manufacturer or manufactured</w:t>
      </w:r>
      <w:r>
        <w:rPr/>
        <w:t>].</w:t>
      </w:r>
    </w:p>
    <w:p>
      <w:pPr>
        <w:pStyle w:val="CMT"/>
        <w:rPr/>
      </w:pPr>
      <w:r>
        <w:rPr/>
        <w:t>Retain first subparagraph below if Project site is in a seismic area.</w:t>
      </w:r>
    </w:p>
    <w:p>
      <w:pPr>
        <w:pStyle w:val="PR2"/>
        <w:numPr>
          <w:ilvl w:val="5"/>
          <w:numId w:val="1"/>
        </w:numPr>
        <w:spacing w:before="240" w:after="0"/>
        <w:ind w:hanging="0" w:left="0"/>
        <w:rPr/>
      </w:pPr>
      <w:r>
        <w:rPr/>
        <w:t>Restrain the unit to resist seismic acceleration. Comply with requirements for seismic-restraint devices specified in Section 230548 "Vibration and Seismic Controls for HVAC."</w:t>
      </w:r>
    </w:p>
    <w:p>
      <w:pPr>
        <w:pStyle w:val="PR2"/>
        <w:numPr>
          <w:ilvl w:val="5"/>
          <w:numId w:val="1"/>
        </w:numPr>
        <w:ind w:hanging="0" w:left="0"/>
        <w:rPr/>
      </w:pPr>
      <w:r>
        <w:rPr/>
        <w:t>Comply with requirements for hangers and supports specified in Section 230529 "Hangers and Supports for HVAC Piping and Equipment."</w:t>
      </w:r>
    </w:p>
    <w:p>
      <w:pPr>
        <w:pStyle w:val="PR1"/>
        <w:numPr>
          <w:ilvl w:val="4"/>
          <w:numId w:val="1"/>
        </w:numPr>
        <w:ind w:hanging="0" w:left="0"/>
        <w:rPr/>
      </w:pPr>
      <w:r>
        <w:rPr/>
        <w:t>Maintain manufacturers' recommended clearances for combustibles.</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Gas Piping: Comply with [</w:t>
      </w:r>
      <w:r>
        <w:rPr>
          <w:b/>
        </w:rPr>
        <w:t>Section 231123 "Facility Natural-Gas Piping."</w:t>
      </w:r>
      <w:r>
        <w:rPr/>
        <w:t>] [</w:t>
      </w:r>
      <w:r>
        <w:rPr>
          <w:b/>
        </w:rPr>
        <w:t>Section 231126 "Facility Liquefied-Petroleum Gas Piping."</w:t>
      </w:r>
      <w:r>
        <w:rPr/>
        <w:t>] Connect gas piping to gas train inlet; provide union with enough clearance for burner removal and service.</w:t>
      </w:r>
    </w:p>
    <w:p>
      <w:pPr>
        <w:pStyle w:val="PR2"/>
        <w:numPr>
          <w:ilvl w:val="5"/>
          <w:numId w:val="1"/>
        </w:numPr>
        <w:spacing w:before="240" w:after="0"/>
        <w:ind w:hanging="0" w:left="0"/>
        <w:rPr/>
      </w:pPr>
      <w:r>
        <w:rPr/>
        <w:t>Gas Connections: Connect gas piping to radiant heaters according to [</w:t>
      </w:r>
      <w:r>
        <w:rPr>
          <w:b/>
        </w:rPr>
        <w:t>NFPA 54</w:t>
      </w:r>
      <w:r>
        <w:rPr/>
        <w:t>] [</w:t>
      </w:r>
      <w:r>
        <w:rPr>
          <w:b/>
        </w:rPr>
        <w:t>CSA B149.1</w:t>
      </w:r>
      <w:r>
        <w:rPr/>
        <w:t>].</w:t>
      </w:r>
    </w:p>
    <w:p>
      <w:pPr>
        <w:pStyle w:val="PR1"/>
        <w:numPr>
          <w:ilvl w:val="4"/>
          <w:numId w:val="1"/>
        </w:numPr>
        <w:ind w:hanging="0" w:left="0"/>
        <w:rPr/>
      </w:pPr>
      <w:r>
        <w:rPr/>
        <w:t>Where installing piping adjacent to gas-fired, radiant heaters, allow space for service and maintenance.</w:t>
      </w:r>
    </w:p>
    <w:p>
      <w:pPr>
        <w:pStyle w:val="PR1"/>
        <w:numPr>
          <w:ilvl w:val="4"/>
          <w:numId w:val="1"/>
        </w:numPr>
        <w:ind w:hanging="0" w:left="0"/>
        <w:rPr/>
      </w:pPr>
      <w:r>
        <w:rPr/>
        <w:t>Electrical Connections: Comply with applicable requirements in Section 260519 "Low-Voltage Electrical Power Conductors and Cables."</w:t>
      </w:r>
    </w:p>
    <w:p>
      <w:pPr>
        <w:pStyle w:val="PR2"/>
        <w:numPr>
          <w:ilvl w:val="5"/>
          <w:numId w:val="1"/>
        </w:numPr>
        <w:spacing w:before="240" w:after="0"/>
        <w:ind w:hanging="0" w:left="0"/>
        <w:rPr/>
      </w:pPr>
      <w:r>
        <w:rPr/>
        <w:t>Install electrical devices furnished with heaters but not specified to be factory mounted.</w:t>
      </w:r>
    </w:p>
    <w:p>
      <w:pPr>
        <w:pStyle w:val="ART"/>
        <w:numPr>
          <w:ilvl w:val="3"/>
          <w:numId w:val="1"/>
        </w:numPr>
        <w:ind w:hanging="0" w:left="0"/>
        <w:rPr/>
      </w:pPr>
      <w:r>
        <w:rPr/>
        <w:t>ADJUSTING</w:t>
      </w:r>
    </w:p>
    <w:p>
      <w:pPr>
        <w:pStyle w:val="PR1"/>
        <w:numPr>
          <w:ilvl w:val="4"/>
          <w:numId w:val="1"/>
        </w:numPr>
        <w:ind w:hanging="0" w:left="0"/>
        <w:rPr/>
      </w:pPr>
      <w:r>
        <w:rPr/>
        <w:t>Adjust initial-temperature set points.</w:t>
      </w:r>
    </w:p>
    <w:p>
      <w:pPr>
        <w:pStyle w:val="PR1"/>
        <w:numPr>
          <w:ilvl w:val="4"/>
          <w:numId w:val="1"/>
        </w:numPr>
        <w:ind w:hanging="0" w:left="0"/>
        <w:rPr/>
      </w:pPr>
      <w:r>
        <w:rPr/>
        <w:t>Adjust burner and other unit components for optimum heating performance and efficiency.</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Test and adjust controls and safeties. Replace damaged and malfunctioning controls and equipment.</w:t>
      </w:r>
    </w:p>
    <w:p>
      <w:pPr>
        <w:pStyle w:val="PR2"/>
        <w:numPr>
          <w:ilvl w:val="5"/>
          <w:numId w:val="1"/>
        </w:numPr>
        <w:ind w:hanging="0" w:left="0"/>
        <w:rPr/>
      </w:pPr>
      <w:r>
        <w:rPr/>
        <w:t>Verify bearing lubrication.</w:t>
      </w:r>
    </w:p>
    <w:p>
      <w:pPr>
        <w:pStyle w:val="PR2"/>
        <w:numPr>
          <w:ilvl w:val="5"/>
          <w:numId w:val="1"/>
        </w:numPr>
        <w:ind w:hanging="0" w:left="0"/>
        <w:rPr/>
      </w:pPr>
      <w:r>
        <w:rPr/>
        <w:t>Verify proper motor rotation.</w:t>
      </w:r>
    </w:p>
    <w:p>
      <w:pPr>
        <w:pStyle w:val="PR2"/>
        <w:numPr>
          <w:ilvl w:val="5"/>
          <w:numId w:val="1"/>
        </w:numPr>
        <w:ind w:hanging="0" w:left="0"/>
        <w:rPr/>
      </w:pPr>
      <w:r>
        <w:rPr/>
        <w:t>Test Reports: Prepare a written report to record the following:</w:t>
      </w:r>
    </w:p>
    <w:p>
      <w:pPr>
        <w:pStyle w:val="PR3"/>
        <w:numPr>
          <w:ilvl w:val="6"/>
          <w:numId w:val="1"/>
        </w:numPr>
        <w:spacing w:before="240" w:after="0"/>
        <w:ind w:hanging="0" w:left="0"/>
        <w:rPr/>
      </w:pPr>
      <w:r>
        <w:rPr/>
        <w:t>Test procedures used.</w:t>
      </w:r>
    </w:p>
    <w:p>
      <w:pPr>
        <w:pStyle w:val="PR3"/>
        <w:numPr>
          <w:ilvl w:val="6"/>
          <w:numId w:val="1"/>
        </w:numPr>
        <w:ind w:hanging="0" w:left="0"/>
        <w:rPr/>
      </w:pPr>
      <w:r>
        <w:rPr/>
        <w:t>Test results that comply with requirements.</w:t>
      </w:r>
    </w:p>
    <w:p>
      <w:pPr>
        <w:pStyle w:val="PR3"/>
        <w:numPr>
          <w:ilvl w:val="6"/>
          <w:numId w:val="1"/>
        </w:numPr>
        <w:ind w:hanging="0" w:left="0"/>
        <w:rPr/>
      </w:pPr>
      <w:r>
        <w:rPr/>
        <w:t>Test results that do not comply with requirements and corrective action taken to achieve compliance with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Gas-fired, radiant heaters will be considered defective if they do not pass tests and inspections.</w:t>
      </w:r>
    </w:p>
    <w:p>
      <w:pPr>
        <w:pStyle w:val="PR1"/>
        <w:numPr>
          <w:ilvl w:val="4"/>
          <w:numId w:val="1"/>
        </w:numPr>
        <w:ind w:hanging="0" w:left="0"/>
        <w:rPr/>
      </w:pPr>
      <w:r>
        <w:rPr/>
        <w:t>Prepare test and inspection reports.</w:t>
      </w:r>
    </w:p>
    <w:p>
      <w:pPr>
        <w:pStyle w:val="EOS"/>
        <w:rPr/>
      </w:pPr>
      <w:r>
        <w:rPr/>
        <w:t>END OF SECTION 235523.16</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HIGH-INTENSITY, GAS-FIRED, RADIANT HEATERS</w:t>
          </w:r>
        </w:p>
      </w:tc>
      <w:tc>
        <w:tcPr>
          <w:tcW w:w="1872" w:type="dxa"/>
          <w:tcBorders/>
        </w:tcPr>
        <w:p>
          <w:pPr>
            <w:pStyle w:val="RJUST"/>
            <w:rPr/>
          </w:pPr>
          <w:r>
            <w:rPr>
              <w:rStyle w:val="NUM"/>
            </w:rPr>
            <w:t>235523.16</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552316"/>
    <w:docVar w:name="MF95" w:val="15547"/>
    <w:docVar w:name="MFOrigin" w:val="MF04"/>
    <w:docVar w:name="SectionID" w:val="1575"/>
    <w:docVar w:name="SpecType" w:val="MasterSpec"/>
    <w:docVar w:name="Version" w:val="110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52316&amp;ver=03-01-15&amp;format=FL&amp;sid=11090&amp;utm_source=MasterSpec&amp;utm_medium=Word" TargetMode="External"/><Relationship Id="rId3" Type="http://schemas.openxmlformats.org/officeDocument/2006/relationships/hyperlink" Target="http://www.specagent.com/LookUp/?ulid=6993&amp;mf=04&amp;src=wd" TargetMode="External"/><Relationship Id="rId4" Type="http://schemas.openxmlformats.org/officeDocument/2006/relationships/hyperlink" Target="http://www.specagent.com/LookUp/?ulid=6994&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HIGH-INTENSITY, GAS-FIRED, RADIANT HEATERS</dc:subject>
  <dc:title>SECTION 235523.16 - HIGH-INTENSITY, GAS-FIRED, RADIANT HEATERS</dc:title>
</cp:coreProperties>
</file>