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235533.13</w:t>
      </w:r>
      <w:r>
        <w:rPr/>
        <w:t xml:space="preserve"> - </w:t>
      </w:r>
      <w:r>
        <w:rPr>
          <w:rStyle w:val="NAM"/>
        </w:rPr>
        <w:t>OIL-FIRED UNIT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the LEED Rating System. However, equipment specified in this Section may not qualify for LEED Rating System prerequisites and credits. Verify, with manufacturers, that the requirements for prerequisites and credits can be met. To achieve prerequisites and obtain credits, HVAC system design alternatives that do not include oil-fired unit heaters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oil-fired unit heaters.</w:t>
      </w:r>
    </w:p>
    <w:p>
      <w:pPr>
        <w:pStyle w:val="ART"/>
        <w:numPr>
          <w:ilvl w:val="3"/>
          <w:numId w:val="1"/>
        </w:numPr>
        <w:ind w:hanging="0" w:left="0"/>
        <w:rPr/>
      </w:pPr>
      <w:r>
        <w:rPr/>
        <w:t>ACTION SUBMITTALS</w:t>
      </w:r>
    </w:p>
    <w:p>
      <w:pPr>
        <w:pStyle w:val="PR1"/>
        <w:numPr>
          <w:ilvl w:val="4"/>
          <w:numId w:val="1"/>
        </w:numPr>
        <w:ind w:hanging="0" w:left="0"/>
        <w:rPr/>
      </w:pPr>
      <w:r>
        <w:rPr/>
        <w:t>Product Data: For each type of oil-fired unit heater.</w:t>
      </w:r>
    </w:p>
    <w:p>
      <w:pPr>
        <w:pStyle w:val="PR2"/>
        <w:numPr>
          <w:ilvl w:val="5"/>
          <w:numId w:val="1"/>
        </w:numPr>
        <w:spacing w:before="240" w:after="0"/>
        <w:ind w:hanging="0" w:left="0"/>
        <w:rPr/>
      </w:pPr>
      <w:r>
        <w:rPr/>
        <w:t>Include rated capacities, operating characteristics, and accessories.</w:t>
      </w:r>
    </w:p>
    <w:p>
      <w:pPr>
        <w:pStyle w:val="CMT"/>
        <w:rPr/>
      </w:pPr>
      <w:r>
        <w:rPr/>
        <w:t>In "Shop Drawings" Paragraph below, retain option if equipment is required to withstand specific design loads and design responsibilities have been delegated to Contractor or if structural data are required as another way to verify equipment's compliance with performance requirements. Professional engineer qualifications are specified in Section 014000 "Quality Requirements."</w:t>
      </w:r>
    </w:p>
    <w:p>
      <w:pPr>
        <w:pStyle w:val="PR1"/>
        <w:numPr>
          <w:ilvl w:val="4"/>
          <w:numId w:val="1"/>
        </w:numPr>
        <w:ind w:hanging="0" w:left="0"/>
        <w:rPr/>
      </w:pPr>
      <w:r>
        <w:rPr/>
        <w:t>Shop Drawings: For oil-fired unit heaters[</w:t>
      </w:r>
      <w:r>
        <w:rPr>
          <w:b/>
        </w:rPr>
        <w:t>; signed and sealed by a qualified professional engineer</w:t>
      </w:r>
      <w:r>
        <w:rPr/>
        <w:t>]. Include plans, elevations, sections, and attachment details.</w:t>
      </w:r>
    </w:p>
    <w:p>
      <w:pPr>
        <w:pStyle w:val="PR2"/>
        <w:numPr>
          <w:ilvl w:val="5"/>
          <w:numId w:val="1"/>
        </w:numPr>
        <w:spacing w:before="240" w:after="0"/>
        <w:ind w:hanging="0" w:left="0"/>
        <w:rPr/>
      </w:pPr>
      <w:r>
        <w:rPr/>
        <w:t>Prepare by or under the supervision of a qualified professional engineer detailing fabrication and assembly of oil-fired unit heaters, as well as procedures and diagrams.</w:t>
      </w:r>
    </w:p>
    <w:p>
      <w:pPr>
        <w:pStyle w:val="PR2"/>
        <w:numPr>
          <w:ilvl w:val="5"/>
          <w:numId w:val="1"/>
        </w:numPr>
        <w:ind w:hanging="0" w:left="0"/>
        <w:rPr/>
      </w:pPr>
      <w:r>
        <w:rPr/>
        <w:t>Design Calculations: Calculate requirements for selecting vibration isolators[</w:t>
      </w:r>
      <w:r>
        <w:rPr>
          <w:b/>
        </w:rPr>
        <w:t> and seismic restraints</w:t>
      </w:r>
      <w:r>
        <w:rPr/>
        <w:t>] and for designing vibration isolation bases.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CMT"/>
        <w:rPr/>
      </w:pPr>
      <w:r>
        <w:rPr/>
        <w:t>Retain option in subparagraph below if thermostat is specified in this Section; delete if thermostats for these units are specified in Section 230923.27 "Temperature Instruments."</w:t>
      </w:r>
    </w:p>
    <w:p>
      <w:pPr>
        <w:pStyle w:val="PR2"/>
        <w:numPr>
          <w:ilvl w:val="5"/>
          <w:numId w:val="1"/>
        </w:numPr>
        <w:ind w:hanging="0" w:left="0"/>
        <w:rPr/>
      </w:pPr>
      <w:r>
        <w:rPr/>
        <w:t>Include diagrams for power[</w:t>
      </w:r>
      <w:r>
        <w:rPr>
          <w:b/>
        </w:rPr>
        <w:t>, signal, and control</w:t>
      </w:r>
      <w:r>
        <w:rPr/>
        <w:t>]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to which equipment will be attached.</w:t>
      </w:r>
    </w:p>
    <w:p>
      <w:pPr>
        <w:pStyle w:val="PR2"/>
        <w:numPr>
          <w:ilvl w:val="5"/>
          <w:numId w:val="1"/>
        </w:numPr>
        <w:ind w:hanging="0" w:left="0"/>
        <w:rPr/>
      </w:pPr>
      <w:r>
        <w:rPr/>
        <w:t>Items penetrating roof and the following:</w:t>
      </w:r>
    </w:p>
    <w:p>
      <w:pPr>
        <w:pStyle w:val="PR3"/>
        <w:numPr>
          <w:ilvl w:val="6"/>
          <w:numId w:val="1"/>
        </w:numPr>
        <w:spacing w:before="240" w:after="0"/>
        <w:ind w:hanging="0" w:left="0"/>
        <w:rPr/>
      </w:pPr>
      <w:r>
        <w:rPr/>
        <w:t>Vent and oil piping rough-ins and connections.</w:t>
      </w:r>
    </w:p>
    <w:p>
      <w:pPr>
        <w:pStyle w:val="PR3"/>
        <w:numPr>
          <w:ilvl w:val="6"/>
          <w:numId w:val="1"/>
        </w:numPr>
        <w:ind w:hanging="0" w:left="0"/>
        <w:rPr/>
      </w:pPr>
      <w:r>
        <w:rPr/>
        <w:t>&lt;</w:t>
      </w:r>
      <w:r>
        <w:rPr>
          <w:b/>
        </w:rPr>
        <w:t>Insert item</w:t>
      </w:r>
      <w:r>
        <w:rPr/>
        <w:t>&gt;.</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Certificates: For oil-fired unit heaters,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oil-fired unit heaters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Fan Belts: [</w:t>
      </w:r>
      <w:r>
        <w:rPr>
          <w:b/>
        </w:rPr>
        <w:t>One</w:t>
      </w:r>
      <w:r>
        <w:rPr/>
        <w:t>] &lt;</w:t>
      </w:r>
      <w:r>
        <w:rPr>
          <w:b/>
        </w:rPr>
        <w:t>Insert number</w:t>
      </w:r>
      <w:r>
        <w:rPr/>
        <w:t>&gt; for each belt-driven fan size.</w:t>
      </w:r>
    </w:p>
    <w:p>
      <w:pPr>
        <w:pStyle w:val="ART"/>
        <w:numPr>
          <w:ilvl w:val="3"/>
          <w:numId w:val="1"/>
        </w:numPr>
        <w:ind w:hanging="0" w:left="0"/>
        <w:rPr/>
      </w:pPr>
      <w:r>
        <w:rPr/>
        <w:t>QUALITY ASSURANCE</w:t>
      </w:r>
    </w:p>
    <w:p>
      <w:pPr>
        <w:pStyle w:val="CMT"/>
        <w:rPr/>
      </w:pPr>
      <w:r>
        <w:rPr/>
        <w:t>Retain "ASHRAE/IES 90.1 Compliance" Paragraph below to require compliance with ASHRAE/IES 90.1. LEED Prerequisite EA 2 requires compliance with ASHRAE/IES 90.1.</w:t>
      </w:r>
    </w:p>
    <w:p>
      <w:pPr>
        <w:pStyle w:val="PR1"/>
        <w:numPr>
          <w:ilvl w:val="4"/>
          <w:numId w:val="1"/>
        </w:numPr>
        <w:ind w:hanging="0" w:left="0"/>
        <w:rPr/>
      </w:pPr>
      <w:r>
        <w:rPr/>
        <w:t>ASHRAE/IES 90.1 Compliance: Applicable requirements in ASHRAE/IES 90.1, Section 6 - "Heating, Ventilating, and Air-Conditioning."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with Section 016000 "Product Requirements."</w:t>
      </w:r>
    </w:p>
    <w:p>
      <w:pPr>
        <w:pStyle w:val="PR1"/>
        <w:numPr>
          <w:ilvl w:val="4"/>
          <w:numId w:val="1"/>
        </w:numPr>
        <w:ind w:hanging="0" w:left="0"/>
        <w:rPr/>
      </w:pPr>
      <w:r>
        <w:rPr/>
        <w:t>Special Warranty: Manufacturer agrees to repair or replace heat exchanger of oil-fired unit heater that fails in materials or workmanship within specified warranty period.</w:t>
      </w:r>
    </w:p>
    <w:p>
      <w:pPr>
        <w:pStyle w:val="CMT"/>
        <w:rPr/>
      </w:pPr>
      <w:r>
        <w:rPr/>
        <w:t>Verify available warranties and warranty periods for units and components. Two-year warranty is applicable to aluminized heat exchangers; five-year warranty, to stainless-steel heat exchangers.</w:t>
      </w:r>
    </w:p>
    <w:p>
      <w:pPr>
        <w:pStyle w:val="PR2"/>
        <w:numPr>
          <w:ilvl w:val="5"/>
          <w:numId w:val="1"/>
        </w:numPr>
        <w:spacing w:before="240" w:after="0"/>
        <w:ind w:hanging="0" w:left="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Oil-fired unit heaters shall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ind w:hanging="0" w:left="0"/>
        <w:rPr/>
      </w:pPr>
      <w:r>
        <w:rPr/>
        <w:t>Seismic Fabrication Requirements: Fabricate and reinforce suspension attachments of oil-fired unit heaters, accessories mountings, and components with reinforcement strong enough to withstand seismic forces defined in Section 230548 "Vibration and Seismic Controls for HVAC" when oil-fired unit heater is anchored to building structure.</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If Project has more than one type or configuration of oil-fired unit heater, delete "Capacities and Characteristics" Paragraph below and schedule unit heaters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Oil Input: &lt;</w:t>
      </w:r>
      <w:r>
        <w:rPr>
          <w:b/>
        </w:rPr>
        <w:t xml:space="preserve">Insert </w:t>
      </w:r>
      <w:r>
        <w:rPr>
          <w:rStyle w:val="IP"/>
          <w:b/>
        </w:rPr>
        <w:t>gph</w:t>
      </w:r>
      <w:r>
        <w:rPr>
          <w:rStyle w:val="SI"/>
          <w:b/>
        </w:rPr>
        <w:t xml:space="preserve"> (L/s)</w:t>
      </w:r>
      <w:r>
        <w:rPr/>
        <w:t>&gt;.</w:t>
      </w:r>
    </w:p>
    <w:p>
      <w:pPr>
        <w:pStyle w:val="PR2"/>
        <w:numPr>
          <w:ilvl w:val="5"/>
          <w:numId w:val="1"/>
        </w:numPr>
        <w:ind w:hanging="0" w:left="0"/>
        <w:rPr/>
      </w:pPr>
      <w:r>
        <w:rPr/>
        <w:t>Heat Output: &lt;</w:t>
      </w:r>
      <w:r>
        <w:rPr>
          <w:b/>
        </w:rPr>
        <w:t xml:space="preserve">Insert </w:t>
      </w:r>
      <w:r>
        <w:rPr>
          <w:rStyle w:val="IP"/>
          <w:b/>
        </w:rPr>
        <w:t>Btu/h</w:t>
      </w:r>
      <w:r>
        <w:rPr>
          <w:rStyle w:val="SI"/>
          <w:b/>
        </w:rPr>
        <w:t xml:space="preserve"> (kW)</w:t>
      </w:r>
      <w:r>
        <w:rPr/>
        <w:t>&gt;.</w:t>
      </w:r>
    </w:p>
    <w:p>
      <w:pPr>
        <w:pStyle w:val="CMT"/>
        <w:rPr/>
      </w:pPr>
      <w:r>
        <w:rPr/>
        <w:t>LEED Prerequisite EA 2 requires compliance with ASHRAE/IES 90.1. LEED Credit EA 1 requires efficiency in excess of minimum efficiency required by ASHRAE/IES 90.1.</w:t>
      </w:r>
    </w:p>
    <w:p>
      <w:pPr>
        <w:pStyle w:val="PR2"/>
        <w:numPr>
          <w:ilvl w:val="5"/>
          <w:numId w:val="1"/>
        </w:numPr>
        <w:ind w:hanging="0" w:left="0"/>
        <w:rPr/>
      </w:pPr>
      <w:r>
        <w:rPr/>
        <w:t>Annual Fuel Utilization Efficiency: [</w:t>
      </w:r>
      <w:r>
        <w:rPr>
          <w:b/>
        </w:rPr>
        <w:t>80</w:t>
      </w:r>
      <w:r>
        <w:rPr/>
        <w:t>] &lt;</w:t>
      </w:r>
      <w:r>
        <w:rPr>
          <w:b/>
        </w:rPr>
        <w:t>Insert number</w:t>
      </w:r>
      <w:r>
        <w:rPr/>
        <w:t>&gt; percent.</w:t>
      </w:r>
    </w:p>
    <w:p>
      <w:pPr>
        <w:pStyle w:val="PR2"/>
        <w:numPr>
          <w:ilvl w:val="5"/>
          <w:numId w:val="1"/>
        </w:numPr>
        <w:ind w:hanging="0" w:left="0"/>
        <w:rPr/>
      </w:pPr>
      <w:r>
        <w:rPr/>
        <w:t>Minimum 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External Static Pressure: &lt;</w:t>
      </w:r>
      <w:r>
        <w:rPr>
          <w:b/>
        </w:rPr>
        <w:t xml:space="preserve">Insert </w:t>
      </w:r>
      <w:r>
        <w:rPr>
          <w:rStyle w:val="IP"/>
          <w:b/>
        </w:rPr>
        <w:t>inches wg</w:t>
      </w:r>
      <w:r>
        <w:rPr>
          <w:rStyle w:val="SI"/>
          <w:b/>
        </w:rPr>
        <w:t xml:space="preserve"> (kPa)</w:t>
      </w:r>
      <w:r>
        <w:rPr/>
        <w:t>&gt;.</w:t>
      </w:r>
    </w:p>
    <w:p>
      <w:pPr>
        <w:pStyle w:val="CMT"/>
        <w:rPr/>
      </w:pPr>
      <w:r>
        <w:rPr/>
        <w:t>Verify enclosure types with manufacturer of specified equipment.</w:t>
      </w:r>
    </w:p>
    <w:p>
      <w:pPr>
        <w:pStyle w:val="PR2"/>
        <w:numPr>
          <w:ilvl w:val="5"/>
          <w:numId w:val="1"/>
        </w:numPr>
        <w:ind w:hanging="0" w:left="0"/>
        <w:rPr/>
      </w:pPr>
      <w:r>
        <w:rPr/>
        <w:t>Motor Enclosure: Totally enclosed, fan cooled.</w:t>
      </w:r>
    </w:p>
    <w:p>
      <w:pPr>
        <w:pStyle w:val="CMT"/>
        <w:rPr/>
      </w:pPr>
      <w:r>
        <w:rPr/>
        <w:t>Retain "Electrical Characteristics" Paragraph below if characteristics are not indicated on Drawings or in this article.</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Motor Size: &lt;</w:t>
      </w:r>
      <w:r>
        <w:rPr>
          <w:b/>
        </w:rPr>
        <w:t>Insert horsepower</w:t>
      </w:r>
      <w:r>
        <w:rPr/>
        <w:t>&gt;.</w:t>
      </w:r>
    </w:p>
    <w:p>
      <w:pPr>
        <w:pStyle w:val="PR3"/>
        <w:numPr>
          <w:ilvl w:val="6"/>
          <w:numId w:val="1"/>
        </w:numPr>
        <w:ind w:hanging="0" w:left="0"/>
        <w:rPr/>
      </w:pPr>
      <w:r>
        <w:rPr/>
        <w:t>Motor Speed: &lt;</w:t>
      </w:r>
      <w:r>
        <w:rPr>
          <w:b/>
        </w:rPr>
        <w:t>Insert number</w:t>
      </w:r>
      <w:r>
        <w:rPr/>
        <w:t>&gt; rpm.</w:t>
      </w:r>
    </w:p>
    <w:p>
      <w:pPr>
        <w:pStyle w:val="PR3"/>
        <w:numPr>
          <w:ilvl w:val="6"/>
          <w:numId w:val="1"/>
        </w:numPr>
        <w:ind w:hanging="0" w:left="0"/>
        <w:rPr/>
      </w:pPr>
      <w:r>
        <w:rPr/>
        <w:t>Volts: [</w:t>
      </w:r>
      <w:r>
        <w:rPr>
          <w:b/>
        </w:rPr>
        <w:t>120</w:t>
      </w:r>
      <w:r>
        <w:rPr/>
        <w:t>] [</w:t>
      </w:r>
      <w:r>
        <w:rPr>
          <w:b/>
        </w:rPr>
        <w:t>208</w:t>
      </w:r>
      <w:r>
        <w:rPr/>
        <w:t>] [</w:t>
      </w:r>
      <w:r>
        <w:rPr>
          <w:b/>
        </w:rPr>
        <w:t>230</w:t>
      </w:r>
      <w:r>
        <w:rPr/>
        <w:t>] &lt;</w:t>
      </w:r>
      <w:r>
        <w:rPr>
          <w:b/>
        </w:rPr>
        <w:t>Insert value</w:t>
      </w:r>
      <w:r>
        <w:rPr/>
        <w:t>&gt;.</w:t>
      </w:r>
    </w:p>
    <w:p>
      <w:pPr>
        <w:pStyle w:val="PR3"/>
        <w:numPr>
          <w:ilvl w:val="6"/>
          <w:numId w:val="1"/>
        </w:numPr>
        <w:ind w:hanging="0" w:left="0"/>
        <w:rPr/>
      </w:pPr>
      <w:r>
        <w:rPr/>
        <w:t>Phase: [</w:t>
      </w:r>
      <w:r>
        <w:rPr>
          <w:b/>
        </w:rPr>
        <w:t>Single</w:t>
      </w:r>
      <w:r>
        <w:rPr/>
        <w:t>] [</w:t>
      </w:r>
      <w:r>
        <w:rPr>
          <w:b/>
        </w:rPr>
        <w:t>Poly</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MANUFACTURED UNITS</w:t>
      </w:r>
    </w:p>
    <w:p>
      <w:pPr>
        <w:pStyle w:val="PR1"/>
        <w:numPr>
          <w:ilvl w:val="4"/>
          <w:numId w:val="1"/>
        </w:numPr>
        <w:ind w:hanging="0" w:left="0"/>
        <w:rPr/>
      </w:pPr>
      <w:r>
        <w:rPr/>
        <w:t>Description: Factory assembled, piped, and wired, and complying with UL 731.</w:t>
      </w:r>
    </w:p>
    <w:p>
      <w:pPr>
        <w:pStyle w:val="PR1"/>
        <w:numPr>
          <w:ilvl w:val="4"/>
          <w:numId w:val="1"/>
        </w:numPr>
        <w:ind w:hanging="0" w:left="0"/>
        <w:rPr/>
      </w:pPr>
      <w:r>
        <w:rPr/>
        <w:t>Housing: Steel, with inserts for suspension mounting rods.</w:t>
      </w:r>
    </w:p>
    <w:p>
      <w:pPr>
        <w:pStyle w:val="PR2"/>
        <w:numPr>
          <w:ilvl w:val="5"/>
          <w:numId w:val="1"/>
        </w:numPr>
        <w:spacing w:before="240" w:after="0"/>
        <w:ind w:hanging="0" w:left="0"/>
        <w:rPr/>
      </w:pPr>
      <w:r>
        <w:rPr/>
        <w:t>External Casings and Cabinets: [</w:t>
      </w:r>
      <w:r>
        <w:rPr>
          <w:b/>
        </w:rPr>
        <w:t>Baked enamel</w:t>
      </w:r>
      <w:r>
        <w:rPr/>
        <w:t>] [</w:t>
      </w:r>
      <w:r>
        <w:rPr>
          <w:b/>
        </w:rPr>
        <w:t>Powder coating</w:t>
      </w:r>
      <w:r>
        <w:rPr/>
        <w:t>] over corrosion-resistant-treated surface.</w:t>
      </w:r>
    </w:p>
    <w:p>
      <w:pPr>
        <w:pStyle w:val="CMT"/>
        <w:rPr/>
      </w:pPr>
      <w:r>
        <w:rPr/>
        <w:t>Retain "Discharge Louvers" or "Discharge Nozzle" Subparagraph below. Delete both subparagraphs and indicate discharge configuration in schedule on Drawings if multiple units are required and have different configurations.</w:t>
      </w:r>
    </w:p>
    <w:p>
      <w:pPr>
        <w:pStyle w:val="PR2"/>
        <w:numPr>
          <w:ilvl w:val="5"/>
          <w:numId w:val="1"/>
        </w:numPr>
        <w:ind w:hanging="0" w:left="0"/>
        <w:rPr/>
      </w:pPr>
      <w:r>
        <w:rPr/>
        <w:t>Discharge Louvers: Independently adjustable, [</w:t>
      </w:r>
      <w:r>
        <w:rPr>
          <w:b/>
        </w:rPr>
        <w:t>horizontal</w:t>
      </w:r>
      <w:r>
        <w:rPr/>
        <w:t>] [</w:t>
      </w:r>
      <w:r>
        <w:rPr>
          <w:b/>
        </w:rPr>
        <w:t>vertical</w:t>
      </w:r>
      <w:r>
        <w:rPr/>
        <w:t>] blades.</w:t>
      </w:r>
    </w:p>
    <w:p>
      <w:pPr>
        <w:pStyle w:val="PR2"/>
        <w:numPr>
          <w:ilvl w:val="5"/>
          <w:numId w:val="1"/>
        </w:numPr>
        <w:ind w:hanging="0" w:left="0"/>
        <w:rPr/>
      </w:pPr>
      <w:r>
        <w:rPr/>
        <w:t>Discharge Nozzle: Discharge at [</w:t>
      </w:r>
      <w:r>
        <w:rPr>
          <w:rStyle w:val="IP"/>
          <w:b/>
        </w:rPr>
        <w:t>25 to 65 degrees</w:t>
      </w:r>
      <w:r>
        <w:rPr>
          <w:rStyle w:val="SI"/>
          <w:b/>
        </w:rPr>
        <w:t xml:space="preserve"> (0.44 to 1.13 radians)</w:t>
      </w:r>
      <w:r>
        <w:rPr/>
        <w:t>] [</w:t>
      </w:r>
      <w:r>
        <w:rPr>
          <w:rStyle w:val="IP"/>
          <w:b/>
        </w:rPr>
        <w:t>50 to 90 degrees</w:t>
      </w:r>
      <w:r>
        <w:rPr>
          <w:rStyle w:val="SI"/>
          <w:b/>
        </w:rPr>
        <w:t xml:space="preserve"> (0.87 to 1.57 radians)</w:t>
      </w:r>
      <w:r>
        <w:rPr/>
        <w:t>] from horizontal.</w:t>
      </w:r>
    </w:p>
    <w:p>
      <w:pPr>
        <w:pStyle w:val="PR1"/>
        <w:numPr>
          <w:ilvl w:val="4"/>
          <w:numId w:val="1"/>
        </w:numPr>
        <w:ind w:hanging="0" w:left="0"/>
        <w:rPr/>
      </w:pPr>
      <w:r>
        <w:rPr/>
        <w:t>Accessories:</w:t>
      </w:r>
    </w:p>
    <w:p>
      <w:pPr>
        <w:pStyle w:val="CMT"/>
        <w:rPr/>
      </w:pPr>
      <w:r>
        <w:rPr/>
        <w:t>Retain one or more of three optional accessories in subparagraphs below.</w:t>
      </w:r>
    </w:p>
    <w:p>
      <w:pPr>
        <w:pStyle w:val="PR2"/>
        <w:numPr>
          <w:ilvl w:val="5"/>
          <w:numId w:val="1"/>
        </w:numPr>
        <w:spacing w:before="240" w:after="0"/>
        <w:ind w:hanging="0" w:left="0"/>
        <w:rPr/>
      </w:pPr>
      <w:r>
        <w:rPr/>
        <w:t>Oil Booster Pump: [</w:t>
      </w:r>
      <w:r>
        <w:rPr>
          <w:rStyle w:val="IP"/>
          <w:b/>
        </w:rPr>
        <w:t>30-gph</w:t>
      </w:r>
      <w:r>
        <w:rPr>
          <w:rStyle w:val="SI"/>
          <w:b/>
        </w:rPr>
        <w:t xml:space="preserve"> (108-L/h)</w:t>
      </w:r>
      <w:r>
        <w:rPr/>
        <w:t>] [</w:t>
      </w:r>
      <w:r>
        <w:rPr>
          <w:rStyle w:val="IP"/>
          <w:b/>
        </w:rPr>
        <w:t>70-gph</w:t>
      </w:r>
      <w:r>
        <w:rPr>
          <w:rStyle w:val="SI"/>
          <w:b/>
        </w:rPr>
        <w:t xml:space="preserve"> (252-L/h)</w:t>
      </w:r>
      <w:r>
        <w:rPr/>
        <w:t>] capacity; motor and two-stage fuel unit with pressure-regulating valve and strainer.</w:t>
      </w:r>
    </w:p>
    <w:p>
      <w:pPr>
        <w:pStyle w:val="PR2"/>
        <w:numPr>
          <w:ilvl w:val="5"/>
          <w:numId w:val="1"/>
        </w:numPr>
        <w:ind w:hanging="0" w:left="0"/>
        <w:rPr/>
      </w:pPr>
      <w:r>
        <w:rPr/>
        <w:t>Oil safety valve.</w:t>
      </w:r>
    </w:p>
    <w:p>
      <w:pPr>
        <w:pStyle w:val="PR2"/>
        <w:numPr>
          <w:ilvl w:val="5"/>
          <w:numId w:val="1"/>
        </w:numPr>
        <w:ind w:hanging="0" w:left="0"/>
        <w:rPr/>
      </w:pPr>
      <w:r>
        <w:rPr/>
        <w:t>Outdoor Combustion-Air Adapter: Sealed to housing and fitted with quick access cover or door and fitting for terminating outdoor-air duct.</w:t>
      </w:r>
    </w:p>
    <w:p>
      <w:pPr>
        <w:pStyle w:val="PR1"/>
        <w:numPr>
          <w:ilvl w:val="4"/>
          <w:numId w:val="1"/>
        </w:numPr>
        <w:ind w:hanging="0" w:left="0"/>
        <w:rPr/>
      </w:pPr>
      <w:r>
        <w:rPr/>
        <w:t xml:space="preserve">Heat Exchanger: Minimum </w:t>
      </w:r>
      <w:r>
        <w:rPr>
          <w:rStyle w:val="IP"/>
        </w:rPr>
        <w:t>0.09-inch</w:t>
      </w:r>
      <w:r>
        <w:rPr>
          <w:rStyle w:val="SI"/>
        </w:rPr>
        <w:t xml:space="preserve"> (2.2-mm)</w:t>
      </w:r>
      <w:r>
        <w:rPr/>
        <w:t xml:space="preserve"> steel.</w:t>
      </w:r>
    </w:p>
    <w:p>
      <w:pPr>
        <w:pStyle w:val="PR1"/>
        <w:numPr>
          <w:ilvl w:val="4"/>
          <w:numId w:val="1"/>
        </w:numPr>
        <w:ind w:hanging="0" w:left="0"/>
        <w:rPr/>
      </w:pPr>
      <w:r>
        <w:rPr/>
        <w:t>Burners: Flame-retention, pressure-atomizing, forced-draft, gun type; with integral fuel pump and electronic spark ignition and flame safety.</w:t>
      </w:r>
    </w:p>
    <w:p>
      <w:pPr>
        <w:pStyle w:val="PR2"/>
        <w:numPr>
          <w:ilvl w:val="5"/>
          <w:numId w:val="1"/>
        </w:numPr>
        <w:spacing w:before="240" w:after="0"/>
        <w:ind w:hanging="0" w:left="0"/>
        <w:rPr/>
      </w:pPr>
      <w:r>
        <w:rPr/>
        <w:t>Safety Device: Oil-pressure switch.</w:t>
      </w:r>
    </w:p>
    <w:p>
      <w:pPr>
        <w:pStyle w:val="CMT"/>
        <w:rPr/>
      </w:pPr>
      <w:r>
        <w:rPr/>
        <w:t>Retain "Propeller Unit Fan" or "Centrifugal Unit Fan" Paragraph below, or revise to suit selected equipment. If multiple units are required and some units require propeller fans and some require centrifugal fans, retain both paragraphs and indicate fan type in a schedule on Drawings. See the sample schedule in the Evaluations.</w:t>
      </w:r>
    </w:p>
    <w:p>
      <w:pPr>
        <w:pStyle w:val="PR1"/>
        <w:numPr>
          <w:ilvl w:val="4"/>
          <w:numId w:val="1"/>
        </w:numPr>
        <w:ind w:hanging="0" w:left="0"/>
        <w:rPr/>
      </w:pPr>
      <w:r>
        <w:rPr/>
        <w:t>Propeller Unit Fan:</w:t>
      </w:r>
    </w:p>
    <w:p>
      <w:pPr>
        <w:pStyle w:val="PR2"/>
        <w:numPr>
          <w:ilvl w:val="5"/>
          <w:numId w:val="1"/>
        </w:numPr>
        <w:spacing w:before="240" w:after="0"/>
        <w:ind w:hanging="0" w:left="0"/>
        <w:rPr/>
      </w:pPr>
      <w:r>
        <w:rPr/>
        <w:t>Aluminum blades dynamically balanced and resiliently mounted.</w:t>
      </w:r>
    </w:p>
    <w:p>
      <w:pPr>
        <w:pStyle w:val="PR2"/>
        <w:numPr>
          <w:ilvl w:val="5"/>
          <w:numId w:val="1"/>
        </w:numPr>
        <w:ind w:hanging="0" w:left="0"/>
        <w:rPr/>
      </w:pPr>
      <w:r>
        <w:rPr/>
        <w:t>Steel fan-blade guard.</w:t>
      </w:r>
    </w:p>
    <w:p>
      <w:pPr>
        <w:pStyle w:val="PR1"/>
        <w:numPr>
          <w:ilvl w:val="4"/>
          <w:numId w:val="1"/>
        </w:numPr>
        <w:ind w:hanging="0" w:left="0"/>
        <w:rPr/>
      </w:pPr>
      <w:r>
        <w:rPr/>
        <w:t>Centrifugal Unit Fan:</w:t>
      </w:r>
    </w:p>
    <w:p>
      <w:pPr>
        <w:pStyle w:val="PR2"/>
        <w:numPr>
          <w:ilvl w:val="5"/>
          <w:numId w:val="1"/>
        </w:numPr>
        <w:spacing w:before="240" w:after="0"/>
        <w:ind w:hanging="0" w:left="0"/>
        <w:rPr/>
      </w:pPr>
      <w:r>
        <w:rPr/>
        <w:t>Steel, centrifugal fan dynamically balanced and resiliently mounted.</w:t>
      </w:r>
    </w:p>
    <w:p>
      <w:pPr>
        <w:pStyle w:val="PR2"/>
        <w:numPr>
          <w:ilvl w:val="5"/>
          <w:numId w:val="1"/>
        </w:numPr>
        <w:ind w:hanging="0" w:left="0"/>
        <w:rPr/>
      </w:pPr>
      <w:r>
        <w:rPr/>
        <w:t>Belt driven with adjustable-pitch motor sheave.</w:t>
      </w:r>
    </w:p>
    <w:p>
      <w:pPr>
        <w:pStyle w:val="CMT"/>
        <w:rPr/>
      </w:pPr>
      <w:r>
        <w:rPr/>
        <w:t>Default motor characteristics are specified in Section 230513 "Common Motor Requirements for HVAC Equipment."</w:t>
      </w:r>
    </w:p>
    <w:p>
      <w:pPr>
        <w:pStyle w:val="PR1"/>
        <w:numPr>
          <w:ilvl w:val="4"/>
          <w:numId w:val="1"/>
        </w:numPr>
        <w:ind w:hanging="0" w:left="0"/>
        <w:rPr/>
      </w:pPr>
      <w:r>
        <w:rPr/>
        <w:t>Motors:</w:t>
      </w:r>
    </w:p>
    <w:p>
      <w:pPr>
        <w:pStyle w:val="PR2"/>
        <w:numPr>
          <w:ilvl w:val="5"/>
          <w:numId w:val="1"/>
        </w:numPr>
        <w:spacing w:before="240" w:after="0"/>
        <w:ind w:hanging="0" w:left="0"/>
        <w:rPr/>
      </w:pPr>
      <w:r>
        <w:rPr/>
        <w:t>Comply with NEMA designation, temperature rating, service factor, and efficiency requirements for motors specified in Section 230513 "Common Motor Requirements for HVAC Equipment."</w:t>
      </w:r>
    </w:p>
    <w:p>
      <w:pPr>
        <w:pStyle w:val="CMT"/>
        <w:rPr/>
      </w:pPr>
      <w:r>
        <w:rPr/>
        <w:t>Retain "Enclosure Materials," "Motor Bearings," "Unusual Service Conditions," "Efficiency," "NEMA Design," and "Service Factor"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ind w:hanging="0" w:left="0"/>
        <w:rPr/>
      </w:pPr>
      <w:r>
        <w:rPr/>
        <w:t>Enclosure Materials: Rolled steel.</w:t>
      </w:r>
    </w:p>
    <w:p>
      <w:pPr>
        <w:pStyle w:val="PR2"/>
        <w:numPr>
          <w:ilvl w:val="5"/>
          <w:numId w:val="1"/>
        </w:numPr>
        <w:ind w:hanging="0" w:left="0"/>
        <w:rPr/>
      </w:pPr>
      <w:r>
        <w:rPr/>
        <w:t>Motor Bearings: &lt;</w:t>
      </w:r>
      <w:r>
        <w:rPr>
          <w:b/>
        </w:rPr>
        <w:t>Insert requirements</w:t>
      </w:r>
      <w:r>
        <w:rPr/>
        <w:t>&gt;.</w:t>
      </w:r>
    </w:p>
    <w:p>
      <w:pPr>
        <w:pStyle w:val="PR2"/>
        <w:numPr>
          <w:ilvl w:val="5"/>
          <w:numId w:val="1"/>
        </w:numPr>
        <w:ind w:hanging="0" w:left="0"/>
        <w:rPr/>
      </w:pPr>
      <w:r>
        <w:rPr/>
        <w:t>Unusual Service Conditions:</w:t>
      </w:r>
    </w:p>
    <w:p>
      <w:pPr>
        <w:pStyle w:val="PR3"/>
        <w:numPr>
          <w:ilvl w:val="6"/>
          <w:numId w:val="1"/>
        </w:numPr>
        <w:spacing w:before="240" w:after="0"/>
        <w:ind w:hanging="0" w:left="0"/>
        <w:rPr/>
      </w:pPr>
      <w:r>
        <w:rPr/>
        <w:t>Ambient Temperature: &lt;</w:t>
      </w:r>
      <w:r>
        <w:rPr>
          <w:b/>
        </w:rPr>
        <w:t>Insert deg C</w:t>
      </w:r>
      <w:r>
        <w:rPr/>
        <w:t>&gt;.</w:t>
      </w:r>
    </w:p>
    <w:p>
      <w:pPr>
        <w:pStyle w:val="PR3"/>
        <w:numPr>
          <w:ilvl w:val="6"/>
          <w:numId w:val="1"/>
        </w:numPr>
        <w:ind w:hanging="0" w:left="0"/>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ind w:hanging="0" w:left="0"/>
        <w:rPr/>
      </w:pPr>
      <w:r>
        <w:rPr/>
        <w:t>High humidity.</w:t>
      </w:r>
    </w:p>
    <w:p>
      <w:pPr>
        <w:pStyle w:val="PR3"/>
        <w:numPr>
          <w:ilvl w:val="6"/>
          <w:numId w:val="1"/>
        </w:numPr>
        <w:ind w:hanging="0" w:left="0"/>
        <w:rPr/>
      </w:pPr>
      <w:r>
        <w:rPr/>
        <w:t>&lt;</w:t>
      </w:r>
      <w:r>
        <w:rPr>
          <w:b/>
        </w:rPr>
        <w:t>Insert conditions</w:t>
      </w:r>
      <w:r>
        <w:rPr/>
        <w:t>&gt;.</w:t>
      </w:r>
    </w:p>
    <w:p>
      <w:pPr>
        <w:pStyle w:val="PR2"/>
        <w:numPr>
          <w:ilvl w:val="5"/>
          <w:numId w:val="1"/>
        </w:numPr>
        <w:spacing w:before="240" w:after="0"/>
        <w:ind w:hanging="0" w:left="0"/>
        <w:rPr/>
      </w:pPr>
      <w:r>
        <w:rPr/>
        <w:t>Efficiency: Premium efficient.</w:t>
      </w:r>
    </w:p>
    <w:p>
      <w:pPr>
        <w:pStyle w:val="PR2"/>
        <w:numPr>
          <w:ilvl w:val="5"/>
          <w:numId w:val="1"/>
        </w:numPr>
        <w:ind w:hanging="0" w:left="0"/>
        <w:rPr/>
      </w:pPr>
      <w:r>
        <w:rPr/>
        <w:t>NEMA Design: &lt;</w:t>
      </w:r>
      <w:r>
        <w:rPr>
          <w:b/>
        </w:rPr>
        <w:t>Insert designation</w:t>
      </w:r>
      <w:r>
        <w:rPr/>
        <w:t>&gt;.</w:t>
      </w:r>
    </w:p>
    <w:p>
      <w:pPr>
        <w:pStyle w:val="PR2"/>
        <w:numPr>
          <w:ilvl w:val="5"/>
          <w:numId w:val="1"/>
        </w:numPr>
        <w:ind w:hanging="0" w:left="0"/>
        <w:rPr/>
      </w:pPr>
      <w:r>
        <w:rPr/>
        <w:t>Service Factor: &lt;</w:t>
      </w:r>
      <w:r>
        <w:rPr>
          <w:b/>
        </w:rPr>
        <w:t>Insert value</w:t>
      </w:r>
      <w:r>
        <w:rPr/>
        <w:t>&gt;.</w:t>
      </w:r>
    </w:p>
    <w:p>
      <w:pPr>
        <w:pStyle w:val="PR1"/>
        <w:numPr>
          <w:ilvl w:val="4"/>
          <w:numId w:val="1"/>
        </w:numPr>
        <w:ind w:hanging="0" w:left="0"/>
        <w:rPr/>
      </w:pPr>
      <w:r>
        <w:rPr/>
        <w:t>Controls: Factory piped and prewired to electrical junction box mounted on unit, including the following:</w:t>
      </w:r>
    </w:p>
    <w:p>
      <w:pPr>
        <w:pStyle w:val="PR2"/>
        <w:numPr>
          <w:ilvl w:val="5"/>
          <w:numId w:val="1"/>
        </w:numPr>
        <w:spacing w:before="240" w:after="0"/>
        <w:ind w:hanging="0" w:left="0"/>
        <w:rPr/>
      </w:pPr>
      <w:r>
        <w:rPr/>
        <w:t>Control Transformer: Integrally mounted, 120- to 24-V ac.</w:t>
      </w:r>
    </w:p>
    <w:p>
      <w:pPr>
        <w:pStyle w:val="PR2"/>
        <w:numPr>
          <w:ilvl w:val="5"/>
          <w:numId w:val="1"/>
        </w:numPr>
        <w:ind w:hanging="0" w:left="0"/>
        <w:rPr/>
      </w:pPr>
      <w:r>
        <w:rPr/>
        <w:t>Cad-cell safety system.</w:t>
      </w:r>
    </w:p>
    <w:p>
      <w:pPr>
        <w:pStyle w:val="PR2"/>
        <w:numPr>
          <w:ilvl w:val="5"/>
          <w:numId w:val="1"/>
        </w:numPr>
        <w:ind w:hanging="0" w:left="0"/>
        <w:rPr/>
      </w:pPr>
      <w:r>
        <w:rPr/>
        <w:t>Manual reset safety.</w:t>
      </w:r>
    </w:p>
    <w:p>
      <w:pPr>
        <w:pStyle w:val="PR2"/>
        <w:numPr>
          <w:ilvl w:val="5"/>
          <w:numId w:val="1"/>
        </w:numPr>
        <w:ind w:hanging="0" w:left="0"/>
        <w:rPr/>
      </w:pPr>
      <w:r>
        <w:rPr/>
        <w:t xml:space="preserve">Automatic Fan Thermal Switch: Fan operates with heat-exchanger temperature more than </w:t>
      </w:r>
      <w:r>
        <w:rPr>
          <w:rStyle w:val="IP"/>
        </w:rPr>
        <w:t>135 deg F</w:t>
      </w:r>
      <w:r>
        <w:rPr>
          <w:rStyle w:val="SI"/>
        </w:rPr>
        <w:t xml:space="preserve"> (58 deg C)</w:t>
      </w:r>
      <w:r>
        <w:rPr/>
        <w:t>.</w:t>
      </w:r>
    </w:p>
    <w:p>
      <w:pPr>
        <w:pStyle w:val="CMT"/>
        <w:rPr/>
      </w:pPr>
      <w:r>
        <w:rPr/>
        <w:t>Retain one of two subparagraphs below.</w:t>
      </w:r>
    </w:p>
    <w:p>
      <w:pPr>
        <w:pStyle w:val="PR2"/>
        <w:numPr>
          <w:ilvl w:val="5"/>
          <w:numId w:val="1"/>
        </w:numPr>
        <w:ind w:hanging="0" w:left="0"/>
        <w:rPr/>
      </w:pPr>
      <w:r>
        <w:rPr/>
        <w:t>Thermostat: Devices and wiring are specified in Section 230923.27 "Temperature Instruments."</w:t>
      </w:r>
    </w:p>
    <w:p>
      <w:pPr>
        <w:pStyle w:val="PR2"/>
        <w:numPr>
          <w:ilvl w:val="5"/>
          <w:numId w:val="1"/>
        </w:numPr>
        <w:ind w:hanging="0" w:left="0"/>
        <w:rPr/>
      </w:pPr>
      <w:r>
        <w:rPr/>
        <w:t>[</w:t>
      </w:r>
      <w:r>
        <w:rPr>
          <w:b/>
        </w:rPr>
        <w:t>Wall</w:t>
      </w:r>
      <w:r>
        <w:rPr/>
        <w:t>] [</w:t>
      </w:r>
      <w:r>
        <w:rPr>
          <w:b/>
        </w:rPr>
        <w:t>Unit</w:t>
      </w:r>
      <w:r>
        <w:rPr/>
        <w:t>]-Mounted Thermostat:</w:t>
      </w:r>
    </w:p>
    <w:p>
      <w:pPr>
        <w:pStyle w:val="PR3"/>
        <w:numPr>
          <w:ilvl w:val="6"/>
          <w:numId w:val="1"/>
        </w:numPr>
        <w:spacing w:before="240" w:after="0"/>
        <w:ind w:hanging="0" w:left="0"/>
        <w:rPr/>
      </w:pPr>
      <w:r>
        <w:rPr/>
        <w:t>[</w:t>
      </w:r>
      <w:r>
        <w:rPr>
          <w:b/>
        </w:rPr>
        <w:t>Single</w:t>
      </w:r>
      <w:r>
        <w:rPr/>
        <w:t>] [</w:t>
      </w:r>
      <w:r>
        <w:rPr>
          <w:b/>
        </w:rPr>
        <w:t>Two</w:t>
      </w:r>
      <w:r>
        <w:rPr/>
        <w:t>] stage.</w:t>
      </w:r>
    </w:p>
    <w:p>
      <w:pPr>
        <w:pStyle w:val="PR3"/>
        <w:numPr>
          <w:ilvl w:val="6"/>
          <w:numId w:val="1"/>
        </w:numPr>
        <w:ind w:hanging="0" w:left="0"/>
        <w:rPr/>
      </w:pPr>
      <w:r>
        <w:rPr/>
        <w:t>Fan on-off-automatic switch.</w:t>
      </w:r>
    </w:p>
    <w:p>
      <w:pPr>
        <w:pStyle w:val="PR3"/>
        <w:numPr>
          <w:ilvl w:val="6"/>
          <w:numId w:val="1"/>
        </w:numPr>
        <w:ind w:hanging="0" w:left="0"/>
        <w:rPr/>
      </w:pPr>
      <w:r>
        <w:rPr/>
        <w:t>24-V ac.</w:t>
      </w:r>
    </w:p>
    <w:p>
      <w:pPr>
        <w:pStyle w:val="PR3"/>
        <w:numPr>
          <w:ilvl w:val="6"/>
          <w:numId w:val="1"/>
        </w:numPr>
        <w:ind w:hanging="0" w:left="0"/>
        <w:rPr/>
      </w:pPr>
      <w:r>
        <w:rPr>
          <w:rStyle w:val="IP"/>
        </w:rPr>
        <w:t>50 to 90 deg F</w:t>
      </w:r>
      <w:r>
        <w:rPr>
          <w:rStyle w:val="SI"/>
        </w:rPr>
        <w:t xml:space="preserve"> (10 to 32 deg C)</w:t>
      </w:r>
      <w:r>
        <w:rPr/>
        <w:t xml:space="preserve"> operating range.</w:t>
      </w:r>
    </w:p>
    <w:p>
      <w:pPr>
        <w:pStyle w:val="PR1"/>
        <w:numPr>
          <w:ilvl w:val="4"/>
          <w:numId w:val="1"/>
        </w:numPr>
        <w:ind w:hanging="0" w:left="0"/>
        <w:rPr/>
      </w:pPr>
      <w:r>
        <w:rPr/>
        <w:t>Electrical Connection: Factory wire motors and controls for a single electrical connection.</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Retain first option in this article for projects in the United States; retain second option for projects in Canada.</w:t>
      </w:r>
    </w:p>
    <w:p>
      <w:pPr>
        <w:pStyle w:val="PR1"/>
        <w:numPr>
          <w:ilvl w:val="4"/>
          <w:numId w:val="1"/>
        </w:numPr>
        <w:ind w:hanging="0" w:left="0"/>
        <w:rPr/>
      </w:pPr>
      <w:r>
        <w:rPr/>
        <w:t>Install and connect oil-fired unit heaters and associated fuel and vent piping according to [</w:t>
      </w:r>
      <w:r>
        <w:rPr>
          <w:b/>
        </w:rPr>
        <w:t>NFPA 31</w:t>
      </w:r>
      <w:r>
        <w:rPr/>
        <w:t>] [</w:t>
      </w:r>
      <w:r>
        <w:rPr>
          <w:b/>
        </w:rPr>
        <w:t>CSA B139</w:t>
      </w:r>
      <w:r>
        <w:rPr/>
        <w:t>], applicable local codes and regulations, and manufacturer's written instructions.</w:t>
      </w:r>
    </w:p>
    <w:p>
      <w:pPr>
        <w:pStyle w:val="ART"/>
        <w:numPr>
          <w:ilvl w:val="3"/>
          <w:numId w:val="1"/>
        </w:numPr>
        <w:ind w:hanging="0" w:left="0"/>
        <w:rPr/>
      </w:pPr>
      <w:r>
        <w:rPr/>
        <w:t>EQUIPMENT MOUNTING</w:t>
      </w:r>
    </w:p>
    <w:p>
      <w:pPr>
        <w:pStyle w:val="PR1"/>
        <w:numPr>
          <w:ilvl w:val="4"/>
          <w:numId w:val="1"/>
        </w:numPr>
        <w:ind w:hanging="0" w:left="0"/>
        <w:rPr/>
      </w:pPr>
      <w:r>
        <w:rPr/>
        <w:t>Suspended Units: Suspend from substrate using threaded rods, spring hangers, and building attachments. Secure rods to unit hanger attachments. Adjust hangers so unit is level and plumb.</w:t>
      </w:r>
    </w:p>
    <w:p>
      <w:pPr>
        <w:pStyle w:val="CMT"/>
        <w:rPr/>
      </w:pPr>
      <w:r>
        <w:rPr/>
        <w:t>Retain one of first two subparagraphs below.</w:t>
      </w:r>
    </w:p>
    <w:p>
      <w:pPr>
        <w:pStyle w:val="PR2"/>
        <w:numPr>
          <w:ilvl w:val="5"/>
          <w:numId w:val="1"/>
        </w:numPr>
        <w:spacing w:before="240" w:after="0"/>
        <w:ind w:hanging="0" w:left="0"/>
        <w:rPr/>
      </w:pPr>
      <w:r>
        <w:rPr/>
        <w:t>Threaded Rods, Spring Hangers, and Building Attachments: Comply with requirements in Section 230529 "Hangers and Supports for HVAC Piping and Equipment" and Section 230548 "Vibration and Seismic Controls for HVAC."</w:t>
      </w:r>
    </w:p>
    <w:p>
      <w:pPr>
        <w:pStyle w:val="CMT"/>
        <w:rPr/>
      </w:pPr>
      <w:r>
        <w:rPr/>
        <w:t>Retain both subparagraphs below if Project site is in an active seismic area.</w:t>
      </w:r>
    </w:p>
    <w:p>
      <w:pPr>
        <w:pStyle w:val="PR2"/>
        <w:numPr>
          <w:ilvl w:val="5"/>
          <w:numId w:val="1"/>
        </w:numPr>
        <w:ind w:hanging="0" w:left="0"/>
        <w:rPr/>
      </w:pPr>
      <w:r>
        <w:rPr/>
        <w:t>Threaded Rods, Spring Hangers, Building Attachments, and Seismic Restraints: Comply with requirements in Section 230529 "Hangers and Supports for HVAC Piping and Equipment." and Section 230548 "Vibration and Seismic Controls for HVAC"</w:t>
      </w:r>
    </w:p>
    <w:p>
      <w:pPr>
        <w:pStyle w:val="PR2"/>
        <w:numPr>
          <w:ilvl w:val="5"/>
          <w:numId w:val="1"/>
        </w:numPr>
        <w:ind w:hanging="0" w:left="0"/>
        <w:rPr/>
      </w:pPr>
      <w:r>
        <w:rPr/>
        <w:t>Anchor the unit to resist code-required horizontal acceleration.</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Sections. Drawings indicate general arrangement of piping, fittings, and specialties.</w:t>
      </w:r>
    </w:p>
    <w:p>
      <w:pPr>
        <w:pStyle w:val="PR1"/>
        <w:numPr>
          <w:ilvl w:val="4"/>
          <w:numId w:val="1"/>
        </w:numPr>
        <w:ind w:hanging="0" w:left="0"/>
        <w:rPr/>
      </w:pPr>
      <w:r>
        <w:rPr/>
        <w:t>Where installing piping adjacent to oil-fired unit heater, allow space for service and maintenance.</w:t>
      </w:r>
    </w:p>
    <w:p>
      <w:pPr>
        <w:pStyle w:val="PR1"/>
        <w:numPr>
          <w:ilvl w:val="4"/>
          <w:numId w:val="1"/>
        </w:numPr>
        <w:ind w:hanging="0" w:left="0"/>
        <w:rPr/>
      </w:pPr>
      <w:r>
        <w:rPr/>
        <w:t>Fuel Oil Piping: Comply with Section 231113 "Facility Fuel-Oil Piping." Connect to fuel oil supply and return piping with shutoff valve and union at each connection.</w:t>
      </w:r>
    </w:p>
    <w:p>
      <w:pPr>
        <w:pStyle w:val="PR1"/>
        <w:numPr>
          <w:ilvl w:val="4"/>
          <w:numId w:val="1"/>
        </w:numPr>
        <w:ind w:hanging="0" w:left="0"/>
        <w:rPr/>
      </w:pPr>
      <w:r>
        <w:rPr/>
        <w:t>Vent Connections: Comply with Section 235123 "Gas Vents."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Test and adjust controls and safeties. Replace damaged and malfunctioning controls and equipment.</w:t>
      </w:r>
    </w:p>
    <w:p>
      <w:pPr>
        <w:pStyle w:val="PR2"/>
        <w:numPr>
          <w:ilvl w:val="5"/>
          <w:numId w:val="1"/>
        </w:numPr>
        <w:ind w:hanging="0" w:left="0"/>
        <w:rPr/>
      </w:pPr>
      <w:r>
        <w:rPr/>
        <w:t>Verify bearing lubrication.</w:t>
      </w:r>
    </w:p>
    <w:p>
      <w:pPr>
        <w:pStyle w:val="PR2"/>
        <w:numPr>
          <w:ilvl w:val="5"/>
          <w:numId w:val="1"/>
        </w:numPr>
        <w:ind w:hanging="0" w:left="0"/>
        <w:rPr/>
      </w:pPr>
      <w:r>
        <w:rPr/>
        <w:t>Verify proper motor rotation.</w:t>
      </w:r>
    </w:p>
    <w:p>
      <w:pPr>
        <w:pStyle w:val="PR2"/>
        <w:numPr>
          <w:ilvl w:val="5"/>
          <w:numId w:val="1"/>
        </w:numPr>
        <w:ind w:hanging="0" w:left="0"/>
        <w:rPr/>
      </w:pPr>
      <w:r>
        <w:rPr/>
        <w:t>Test Reports: Prepare a written report to record the following:</w:t>
      </w:r>
    </w:p>
    <w:p>
      <w:pPr>
        <w:pStyle w:val="PR3"/>
        <w:numPr>
          <w:ilvl w:val="6"/>
          <w:numId w:val="1"/>
        </w:numPr>
        <w:spacing w:before="240" w:after="0"/>
        <w:ind w:hanging="0" w:left="0"/>
        <w:rPr/>
      </w:pPr>
      <w:r>
        <w:rPr/>
        <w:t>Test procedures used.</w:t>
      </w:r>
    </w:p>
    <w:p>
      <w:pPr>
        <w:pStyle w:val="PR3"/>
        <w:numPr>
          <w:ilvl w:val="6"/>
          <w:numId w:val="1"/>
        </w:numPr>
        <w:ind w:hanging="0" w:left="0"/>
        <w:rPr/>
      </w:pPr>
      <w:r>
        <w:rPr/>
        <w:t>Test results that comply with requirements.</w:t>
      </w:r>
    </w:p>
    <w:p>
      <w:pPr>
        <w:pStyle w:val="PR3"/>
        <w:numPr>
          <w:ilvl w:val="6"/>
          <w:numId w:val="1"/>
        </w:numPr>
        <w:ind w:hanging="0" w:left="0"/>
        <w:rPr/>
      </w:pPr>
      <w:r>
        <w:rPr/>
        <w:t>Test results that do not comply with requirements and corrective action taken to achieve compliance with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Oil-fired unit heater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PR1"/>
        <w:numPr>
          <w:ilvl w:val="4"/>
          <w:numId w:val="1"/>
        </w:numPr>
        <w:ind w:hanging="0" w:left="0"/>
        <w:rPr/>
      </w:pPr>
      <w:r>
        <w:rPr/>
        <w:t>Adjust initial temperature and humidity set points.</w:t>
      </w:r>
    </w:p>
    <w:p>
      <w:pPr>
        <w:pStyle w:val="PR1"/>
        <w:numPr>
          <w:ilvl w:val="4"/>
          <w:numId w:val="1"/>
        </w:numPr>
        <w:ind w:hanging="0" w:left="0"/>
        <w:rPr/>
      </w:pPr>
      <w:r>
        <w:rPr/>
        <w:t>Adjust burner and other unit components for optimum heating performance and efficiency.</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oil-fired unit heaters.</w:t>
      </w:r>
    </w:p>
    <w:p>
      <w:pPr>
        <w:pStyle w:val="EOS"/>
        <w:rPr/>
      </w:pPr>
      <w:r>
        <w:rPr/>
        <w:t>END OF SECTION 235533.13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OIL-FIRED UNIT HEATERS</w:t>
          </w:r>
        </w:p>
      </w:tc>
      <w:tc>
        <w:tcPr>
          <w:tcW w:w="1872" w:type="dxa"/>
          <w:tcBorders/>
        </w:tcPr>
        <w:p>
          <w:pPr>
            <w:pStyle w:val="RJUST"/>
            <w:rPr/>
          </w:pPr>
          <w:r>
            <w:rPr>
              <w:rStyle w:val="NUM"/>
            </w:rPr>
            <w:t>235533.13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09/13</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3"/>
    <w:docVar w:name="Format" w:val="1"/>
    <w:docVar w:name="MF04" w:val="23553313"/>
    <w:docVar w:name="MF95" w:val="15543"/>
    <w:docVar w:name="SectionID" w:val="3047"/>
    <w:docVar w:name="SpecType" w:val="MasterSpec"/>
    <w:docVar w:name="Version" w:val="100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53313&amp;ver=09-01-13&amp;format=FL&amp;sid=10071&amp;utm_source=MasterSpec&amp;utm_medium=Word" TargetMode="External"/><Relationship Id="rId3" Type="http://schemas.openxmlformats.org/officeDocument/2006/relationships/hyperlink" Target="http://www.specagent.com/LookUp/?ulid=9374&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2022-09-26T03:16:00Z</dcterms:created>
  <dc:creator>Deltek, Inc.</dc:creator>
  <dc:description/>
  <cp:keywords>BAS-12345-MS80</cp:keywords>
  <dc:language>zh-CN</dc:language>
  <cp:lastModifiedBy>Janice Nacional</cp:lastModifiedBy>
  <dcterms:modified xsi:type="dcterms:W3CDTF">2022-09-26T03:16:00Z</dcterms:modified>
  <cp:revision>2</cp:revision>
  <dc:subject>OIL-FIRED UNIT HEATERS</dc:subject>
  <dc:title>SECTION 235533.13 - OIL-FIRED UNIT HEATERS</dc:title>
</cp:coreProperties>
</file>