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237216</w:t>
      </w:r>
      <w:r>
        <w:rPr/>
        <w:t xml:space="preserve"> - </w:t>
      </w:r>
      <w:r>
        <w:rPr>
          <w:rStyle w:val="NAM"/>
        </w:rPr>
        <w:t>HEAT PIPE AIR-TO-AIR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heat-pipe heat exchangers.</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air-to-air energy recovery equipment.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 or if structural data are required as another way to verify compliance with performance requirements.</w:t>
      </w:r>
    </w:p>
    <w:p>
      <w:pPr>
        <w:pStyle w:val="PR1"/>
        <w:numPr>
          <w:ilvl w:val="4"/>
          <w:numId w:val="1"/>
        </w:numPr>
        <w:rPr/>
      </w:pPr>
      <w:r>
        <w:rPr/>
        <w:t>Delegated-Design Submittal: For air-to-air energy recovery equipment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air-to-air energy recovery equipment.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elevations, and other details, drawn to scale, on which the following items are shown and coordinated with each other, using input from installers of the items involved:</w:t>
      </w:r>
    </w:p>
    <w:p>
      <w:pPr>
        <w:pStyle w:val="PR2"/>
        <w:numPr>
          <w:ilvl w:val="5"/>
          <w:numId w:val="1"/>
        </w:numPr>
        <w:spacing w:before="240" w:after="0"/>
        <w:rPr/>
      </w:pPr>
      <w:r>
        <w:rPr/>
        <w:t>Mechanical-room layout and relationships between components and adjacent structural and mechanical elements.</w:t>
      </w:r>
    </w:p>
    <w:p>
      <w:pPr>
        <w:pStyle w:val="PR2"/>
        <w:numPr>
          <w:ilvl w:val="5"/>
          <w:numId w:val="1"/>
        </w:numPr>
        <w:rPr/>
      </w:pPr>
      <w:r>
        <w:rPr/>
        <w:t>Support location, type, and weight.</w:t>
      </w:r>
    </w:p>
    <w:p>
      <w:pPr>
        <w:pStyle w:val="PR2"/>
        <w:numPr>
          <w:ilvl w:val="5"/>
          <w:numId w:val="1"/>
        </w:numPr>
        <w:rPr/>
      </w:pPr>
      <w:r>
        <w:rPr/>
        <w:t>Field measurements.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air-to-air energy recovery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air-to-air energy recovery equipment to include in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DELIVERY, STORAGE, AND HANDLING</w:t>
      </w:r>
    </w:p>
    <w:p>
      <w:pPr>
        <w:pStyle w:val="PR1"/>
        <w:numPr>
          <w:ilvl w:val="4"/>
          <w:numId w:val="1"/>
        </w:numPr>
        <w:rPr/>
      </w:pPr>
      <w:r>
        <w:rPr/>
        <w:t>Deliver and store products in a clean, dry place.</w:t>
      </w:r>
    </w:p>
    <w:p>
      <w:pPr>
        <w:pStyle w:val="PR1"/>
        <w:numPr>
          <w:ilvl w:val="4"/>
          <w:numId w:val="1"/>
        </w:numPr>
        <w:rPr/>
      </w:pPr>
      <w:r>
        <w:rPr/>
        <w:t>Comply with manufacturer's written rigging and installation instructions for unloading and moving to final installed location.</w:t>
      </w:r>
    </w:p>
    <w:p>
      <w:pPr>
        <w:pStyle w:val="PR1"/>
        <w:numPr>
          <w:ilvl w:val="4"/>
          <w:numId w:val="1"/>
        </w:numPr>
        <w:rPr/>
      </w:pPr>
      <w:r>
        <w:rPr/>
        <w:t>Handle products carefully to prevent damage, breakage, denting, and scoring. Do not install damaged products.</w:t>
      </w:r>
    </w:p>
    <w:p>
      <w:pPr>
        <w:pStyle w:val="PR1"/>
        <w:numPr>
          <w:ilvl w:val="4"/>
          <w:numId w:val="1"/>
        </w:numPr>
        <w:rPr/>
      </w:pPr>
      <w:r>
        <w:rPr/>
        <w:t>Protect products from weather, dirt, dust, water, construction debris, and physical damage.</w:t>
      </w:r>
    </w:p>
    <w:p>
      <w:pPr>
        <w:pStyle w:val="PR2"/>
        <w:numPr>
          <w:ilvl w:val="5"/>
          <w:numId w:val="1"/>
        </w:numPr>
        <w:spacing w:before="240" w:after="0"/>
        <w:rPr/>
      </w:pPr>
      <w:r>
        <w:rPr/>
        <w:t>Retain factory-applied coverings on equipment to protect finishes during construction and remove just prior to operating unit.</w:t>
      </w:r>
    </w:p>
    <w:p>
      <w:pPr>
        <w:pStyle w:val="PR2"/>
        <w:numPr>
          <w:ilvl w:val="5"/>
          <w:numId w:val="1"/>
        </w:numPr>
        <w:rPr/>
      </w:pPr>
      <w:r>
        <w:rPr/>
        <w:t>Cover unit openings before installation to prevent dirt and dust from entering inside of units. If required to remover coverings during unit installation, reapply coverings over openings after unit installation and remove just prior to operating unit.</w:t>
      </w:r>
    </w:p>
    <w:p>
      <w:pPr>
        <w:pStyle w:val="PR2"/>
        <w:numPr>
          <w:ilvl w:val="5"/>
          <w:numId w:val="1"/>
        </w:numPr>
        <w:rPr/>
      </w:pPr>
      <w:r>
        <w:rPr/>
        <w:t>Replace installed products damaged during construction.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air-to-air energy recovery equipment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Heat Pipe Energy Recovery Equipment: [</w:t>
      </w:r>
      <w:r>
        <w:rPr>
          <w:b/>
        </w:rPr>
        <w:t>Two</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"Electrical Components, Devices, and Accessories" Paragraph below if retaining tilt control in "Control" Paragraph in "Heat-Pipe Heat Exchangers" Article.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NPFA Compliance: Comply with NFPA 90A for design, fabrication, and installation of unit components.</w:t>
      </w:r>
    </w:p>
    <w:p>
      <w:pPr>
        <w:pStyle w:val="CMT"/>
        <w:rPr/>
      </w:pPr>
      <w:r>
        <w:rPr/>
        <w:t>"ASHRAE Compliance" Paragraph below may be required to comply with Project requirements or authorities having jurisdiction. Sustainable design systems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Applicable requirements in ASHRAE 62.1, Section 5 - "Systems and Equipment" and Section 7 - "Construction and Startup."</w:t>
      </w:r>
    </w:p>
    <w:p>
      <w:pPr>
        <w:pStyle w:val="PR2"/>
        <w:numPr>
          <w:ilvl w:val="5"/>
          <w:numId w:val="1"/>
        </w:numPr>
        <w:rPr/>
      </w:pPr>
      <w:r>
        <w:rPr/>
        <w:t>Capacity ratings for air-to-air energy recovery equipment shall comply with ASHRAE 84, "Method of Testing Air-to-Air Heat/Energy Exchangers."</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detail fabrication and assembly of air-to-air energy recovery equipment.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Air-to-air energy recovery equipment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air-to-air energy recovery unit, delete this article and schedule air-to-air energy recovery units on Drawings.</w:t>
      </w:r>
    </w:p>
    <w:p>
      <w:pPr>
        <w:pStyle w:val="PR1"/>
        <w:numPr>
          <w:ilvl w:val="4"/>
          <w:numId w:val="1"/>
        </w:numPr>
        <w:rPr/>
      </w:pPr>
      <w:r>
        <w:rPr/>
        <w:t>Exhaust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1"/>
        <w:numPr>
          <w:ilvl w:val="4"/>
          <w:numId w:val="1"/>
        </w:numPr>
        <w:rPr/>
      </w:pPr>
      <w:r>
        <w:rPr/>
        <w:t>Supply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1"/>
        <w:numPr>
          <w:ilvl w:val="4"/>
          <w:numId w:val="1"/>
        </w:numPr>
        <w:rPr/>
      </w:pPr>
      <w:r>
        <w:rPr/>
        <w:t>Tilt Motor:</w:t>
      </w:r>
    </w:p>
    <w:p>
      <w:pPr>
        <w:pStyle w:val="PR2"/>
        <w:numPr>
          <w:ilvl w:val="5"/>
          <w:numId w:val="1"/>
        </w:numPr>
        <w:spacing w:before="240" w:after="0"/>
        <w:rPr/>
      </w:pPr>
      <w:r>
        <w:rPr/>
        <w:t>Horsepower: &lt;</w:t>
      </w:r>
      <w:r>
        <w:rPr>
          <w:b/>
        </w:rPr>
        <w:t>Insert number</w:t>
      </w:r>
      <w:r>
        <w:rPr/>
        <w:t>&gt; hp.</w:t>
      </w:r>
    </w:p>
    <w:p>
      <w:pPr>
        <w:pStyle w:val="PR2"/>
        <w:numPr>
          <w:ilvl w:val="5"/>
          <w:numId w:val="1"/>
        </w:numPr>
        <w:rPr/>
      </w:pPr>
      <w:r>
        <w:rPr/>
        <w:t>Electrical Characteristics:</w:t>
      </w:r>
    </w:p>
    <w:p>
      <w:pPr>
        <w:pStyle w:val="PR3"/>
        <w:numPr>
          <w:ilvl w:val="6"/>
          <w:numId w:val="1"/>
        </w:numPr>
        <w:spacing w:before="240" w:after="0"/>
        <w:rPr/>
      </w:pPr>
      <w:r>
        <w:rPr/>
        <w:t>Volts: &lt;</w:t>
      </w:r>
      <w:r>
        <w:rPr>
          <w:b/>
        </w:rPr>
        <w:t>Insert number</w:t>
      </w:r>
      <w:r>
        <w:rPr/>
        <w:t>&gt; V.</w:t>
      </w:r>
    </w:p>
    <w:p>
      <w:pPr>
        <w:pStyle w:val="PR3"/>
        <w:numPr>
          <w:ilvl w:val="6"/>
          <w:numId w:val="1"/>
        </w:numPr>
        <w:rPr/>
      </w:pPr>
      <w:r>
        <w:rPr/>
        <w:t>Phase: &lt;</w:t>
      </w:r>
      <w:r>
        <w:rPr>
          <w:b/>
        </w:rPr>
        <w:t>Insert number</w:t>
      </w:r>
      <w:r>
        <w:rPr/>
        <w:t>&gt;.</w:t>
      </w:r>
    </w:p>
    <w:p>
      <w:pPr>
        <w:pStyle w:val="PR3"/>
        <w:numPr>
          <w:ilvl w:val="6"/>
          <w:numId w:val="1"/>
        </w:numPr>
        <w:rPr/>
      </w:pPr>
      <w:r>
        <w:rPr/>
        <w:t>Hertz: [</w:t>
      </w:r>
      <w:r>
        <w:rPr>
          <w:b/>
        </w:rPr>
        <w:t>60</w:t>
      </w:r>
      <w:r>
        <w:rPr/>
        <w:t>] &lt;</w:t>
      </w:r>
      <w:r>
        <w:rPr>
          <w:b/>
        </w:rPr>
        <w:t>Insert number</w:t>
      </w:r>
      <w:r>
        <w:rPr/>
        <w:t>&gt; Hz.</w:t>
      </w:r>
    </w:p>
    <w:p>
      <w:pPr>
        <w:pStyle w:val="PR1"/>
        <w:numPr>
          <w:ilvl w:val="4"/>
          <w:numId w:val="1"/>
        </w:numPr>
        <w:rPr/>
      </w:pPr>
      <w:r>
        <w:rPr/>
        <w:t>Effectiveness: &lt;</w:t>
      </w:r>
      <w:r>
        <w:rPr>
          <w:b/>
        </w:rPr>
        <w:t>Insert percentage</w:t>
      </w:r>
      <w:r>
        <w:rPr/>
        <w:t>&gt;.</w:t>
      </w:r>
    </w:p>
    <w:p>
      <w:pPr>
        <w:pStyle w:val="ART"/>
        <w:numPr>
          <w:ilvl w:val="3"/>
          <w:numId w:val="1"/>
        </w:numPr>
        <w:ind w:hanging="0" w:left="0"/>
        <w:rPr/>
      </w:pPr>
      <w:r>
        <w:rPr/>
        <w:t>HEAT-PIPE HEAT EXCHANGERS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Casing: [</w:t>
      </w:r>
      <w:r>
        <w:rPr>
          <w:b/>
        </w:rPr>
        <w:t>Galvanized</w:t>
      </w:r>
      <w:r>
        <w:rPr/>
        <w:t>] [</w:t>
      </w:r>
      <w:r>
        <w:rPr>
          <w:b/>
        </w:rPr>
        <w:t>Stainless</w:t>
      </w:r>
      <w:r>
        <w:rPr/>
        <w:t>]-steel flanged casing, with airtight [</w:t>
      </w:r>
      <w:r>
        <w:rPr>
          <w:b/>
        </w:rPr>
        <w:t>single</w:t>
      </w:r>
      <w:r>
        <w:rPr/>
        <w:t>] [</w:t>
      </w:r>
      <w:r>
        <w:rPr>
          <w:b/>
        </w:rPr>
        <w:t>double</w:t>
      </w:r>
      <w:r>
        <w:rPr/>
        <w:t>] partition between airstreams.</w:t>
      </w:r>
    </w:p>
    <w:p>
      <w:pPr>
        <w:pStyle w:val="PR1"/>
        <w:numPr>
          <w:ilvl w:val="4"/>
          <w:numId w:val="1"/>
        </w:numPr>
        <w:rPr/>
      </w:pPr>
      <w:r>
        <w:rPr/>
        <w:t>Refrigerant: [</w:t>
      </w:r>
      <w:r>
        <w:rPr>
          <w:b/>
        </w:rPr>
        <w:t>ASHRAE 34, Safety Group 1</w:t>
      </w:r>
      <w:r>
        <w:rPr/>
        <w:t>] &lt;</w:t>
      </w:r>
      <w:r>
        <w:rPr>
          <w:b/>
        </w:rPr>
        <w:t>Insert refrigerant</w:t>
      </w:r>
      <w:r>
        <w:rPr/>
        <w:t>&gt;.</w:t>
      </w:r>
    </w:p>
    <w:p>
      <w:pPr>
        <w:pStyle w:val="CMT"/>
        <w:rPr/>
      </w:pPr>
      <w:r>
        <w:rPr/>
        <w:t>Not all manufacturers offer the same combination of tube diameter, tube material, and fin material. Consult manufacturers and insert desired tube diameter, tube material, and fin material.</w:t>
      </w:r>
    </w:p>
    <w:p>
      <w:pPr>
        <w:pStyle w:val="PR1"/>
        <w:numPr>
          <w:ilvl w:val="4"/>
          <w:numId w:val="1"/>
        </w:numPr>
        <w:rPr/>
      </w:pPr>
      <w:r>
        <w:rPr/>
        <w:t>Tubes:</w:t>
      </w:r>
    </w:p>
    <w:p>
      <w:pPr>
        <w:pStyle w:val="PR2"/>
        <w:numPr>
          <w:ilvl w:val="5"/>
          <w:numId w:val="1"/>
        </w:numPr>
        <w:spacing w:before="240" w:after="0"/>
        <w:rPr/>
      </w:pPr>
      <w:r>
        <w:rPr/>
        <w:t>Tube Diameter: &lt;</w:t>
      </w:r>
      <w:r>
        <w:rPr>
          <w:b/>
        </w:rPr>
        <w:t>Insert dimension</w:t>
      </w:r>
      <w:r>
        <w:rPr/>
        <w:t>&gt; diameter.</w:t>
      </w:r>
    </w:p>
    <w:p>
      <w:pPr>
        <w:pStyle w:val="PR2"/>
        <w:numPr>
          <w:ilvl w:val="5"/>
          <w:numId w:val="1"/>
        </w:numPr>
        <w:rPr/>
      </w:pPr>
      <w:r>
        <w:rPr/>
        <w:t>Tube Material: [</w:t>
      </w:r>
      <w:r>
        <w:rPr>
          <w:b/>
        </w:rPr>
        <w:t>Aluminum</w:t>
      </w:r>
      <w:r>
        <w:rPr/>
        <w:t>] [</w:t>
      </w:r>
      <w:r>
        <w:rPr>
          <w:b/>
        </w:rPr>
        <w:t>Copper</w:t>
      </w:r>
      <w:r>
        <w:rPr/>
        <w:t>] &lt;</w:t>
      </w:r>
      <w:r>
        <w:rPr>
          <w:b/>
        </w:rPr>
        <w:t>Insert material</w:t>
      </w:r>
      <w:r>
        <w:rPr/>
        <w:t>&gt;.</w:t>
      </w:r>
    </w:p>
    <w:p>
      <w:pPr>
        <w:pStyle w:val="PR2"/>
        <w:numPr>
          <w:ilvl w:val="5"/>
          <w:numId w:val="1"/>
        </w:numPr>
        <w:rPr/>
      </w:pPr>
      <w:r>
        <w:rPr/>
        <w:t>Number of Tube Rows: As required to meet scheduled capacity conditions.</w:t>
      </w:r>
    </w:p>
    <w:p>
      <w:pPr>
        <w:pStyle w:val="PR1"/>
        <w:numPr>
          <w:ilvl w:val="4"/>
          <w:numId w:val="1"/>
        </w:numPr>
        <w:rPr/>
      </w:pPr>
      <w:r>
        <w:rPr/>
        <w:t>Fins: &lt;</w:t>
      </w:r>
      <w:r>
        <w:rPr>
          <w:b/>
        </w:rPr>
        <w:t>Insert material</w:t>
      </w:r>
      <w:r>
        <w:rPr/>
        <w:t>&gt;.</w:t>
      </w:r>
    </w:p>
    <w:p>
      <w:pPr>
        <w:pStyle w:val="PR2"/>
        <w:numPr>
          <w:ilvl w:val="5"/>
          <w:numId w:val="1"/>
        </w:numPr>
        <w:spacing w:before="240" w:after="0"/>
        <w:rPr/>
      </w:pPr>
      <w:r>
        <w:rPr/>
        <w:t>Fin Spacing: As required to meet scheduled capacity conditions.</w:t>
      </w:r>
    </w:p>
    <w:p>
      <w:pPr>
        <w:pStyle w:val="CMT"/>
        <w:rPr/>
      </w:pPr>
      <w:r>
        <w:rPr/>
        <w:t>Not all manufacturers offer each option in "Fin and Tube Joint" Subparagraph below; consult manufacturers.</w:t>
      </w:r>
    </w:p>
    <w:p>
      <w:pPr>
        <w:pStyle w:val="PR2"/>
        <w:numPr>
          <w:ilvl w:val="5"/>
          <w:numId w:val="1"/>
        </w:numPr>
        <w:rPr/>
      </w:pPr>
      <w:r>
        <w:rPr/>
        <w:t>Fin and Tube Joint: [</w:t>
      </w:r>
      <w:r>
        <w:rPr>
          <w:b/>
        </w:rPr>
        <w:t>Mechanical bond</w:t>
      </w:r>
      <w:r>
        <w:rPr/>
        <w:t>] [</w:t>
      </w:r>
      <w:r>
        <w:rPr>
          <w:b/>
        </w:rPr>
        <w:t>Silver brazed</w:t>
      </w:r>
      <w:r>
        <w:rPr/>
        <w:t>].</w:t>
      </w:r>
    </w:p>
    <w:p>
      <w:pPr>
        <w:pStyle w:val="PR1"/>
        <w:numPr>
          <w:ilvl w:val="4"/>
          <w:numId w:val="1"/>
        </w:numPr>
        <w:rPr/>
      </w:pPr>
      <w:r>
        <w:rPr/>
        <w:t>Coating: [</w:t>
      </w:r>
      <w:r>
        <w:rPr>
          <w:b/>
        </w:rPr>
        <w:t>None</w:t>
      </w:r>
      <w:r>
        <w:rPr/>
        <w:t>] [</w:t>
      </w:r>
      <w:r>
        <w:rPr>
          <w:b/>
        </w:rPr>
        <w:t>Flexible epoxy polymer e-coating</w:t>
      </w:r>
      <w:r>
        <w:rPr/>
        <w:t>] [</w:t>
      </w:r>
      <w:r>
        <w:rPr>
          <w:b/>
        </w:rPr>
        <w:t>Baked phenolic</w:t>
      </w:r>
      <w:r>
        <w:rPr/>
        <w:t>] &lt;</w:t>
      </w:r>
      <w:r>
        <w:rPr>
          <w:b/>
        </w:rPr>
        <w:t>Insert coating</w:t>
      </w:r>
      <w:r>
        <w:rPr/>
        <w:t>&gt;; apply to supply and exhaust.</w:t>
      </w:r>
    </w:p>
    <w:p>
      <w:pPr>
        <w:pStyle w:val="CMT"/>
        <w:rPr/>
      </w:pPr>
      <w:r>
        <w:rPr/>
        <w:t>Retain one of two "Control" paragraphs below to require controls to be an integral part of air-to-air energy recovery equipment. Retain first for face-and-bypass control; second, for tilt control. Delete if controls are specified in Section 230923 "Direct Digital Control System for HVAC," or if these types of controls are not required for the application. Not all manufacturers offer bypass control. Not all manufacturers offer or recommend tilt control. Consult manufacturers.</w:t>
      </w:r>
    </w:p>
    <w:p>
      <w:pPr>
        <w:pStyle w:val="PR1"/>
        <w:numPr>
          <w:ilvl w:val="4"/>
          <w:numId w:val="1"/>
        </w:numPr>
        <w:rPr/>
      </w:pPr>
      <w:r>
        <w:rPr/>
        <w:t>Control: Integral plenum containing heat-pipe coil and gasketed, face-and-bypass, opposed-blade dampers with rods extended outside casing for damper operator and linkage.</w:t>
      </w:r>
    </w:p>
    <w:p>
      <w:pPr>
        <w:pStyle w:val="PR1"/>
        <w:numPr>
          <w:ilvl w:val="4"/>
          <w:numId w:val="1"/>
        </w:numPr>
        <w:rPr/>
      </w:pPr>
      <w:r>
        <w:rPr/>
        <w:t>Control: Pivot center of bottom of heat-pipe coil on shaft and bearings to tilt coil. Include tilt controls with electronic controller, electric actuator and linkage, thermostats, sensors, and polyester fabric with PVC-coated flexible connector for automatic supply temperature regulation, summer/winter changeover, and frost protection.</w:t>
      </w:r>
    </w:p>
    <w:p>
      <w:pPr>
        <w:pStyle w:val="ART"/>
        <w:numPr>
          <w:ilvl w:val="3"/>
          <w:numId w:val="1"/>
        </w:numPr>
        <w:ind w:hanging="0" w:left="0"/>
        <w:rPr/>
      </w:pPr>
      <w:r>
        <w:rPr/>
        <w:t>SOURCE QUALITY CONTROL</w:t>
      </w:r>
    </w:p>
    <w:p>
      <w:pPr>
        <w:pStyle w:val="PR1"/>
        <w:numPr>
          <w:ilvl w:val="4"/>
          <w:numId w:val="1"/>
        </w:numPr>
        <w:rPr/>
      </w:pPr>
      <w:r>
        <w:rPr/>
        <w:t>AHRI Certification: Certified according to AHRI 410.</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CMT"/>
        <w:rPr/>
      </w:pPr>
      <w:r>
        <w:rPr/>
        <w:t>Do not retain first paragraph below if tilt control is not retained in "Control" Paragraph in "Heat-Pipe Heat Exchangers" Article.</w:t>
      </w:r>
    </w:p>
    <w:p>
      <w:pPr>
        <w:pStyle w:val="PR1"/>
        <w:numPr>
          <w:ilvl w:val="4"/>
          <w:numId w:val="1"/>
        </w:numPr>
        <w:rPr/>
      </w:pPr>
      <w:r>
        <w:rPr/>
        <w:t>Examine roughing-in for electrical services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for heat-pipe heat exchangers.</w:t>
      </w:r>
    </w:p>
    <w:p>
      <w:pPr>
        <w:pStyle w:val="PR1"/>
        <w:numPr>
          <w:ilvl w:val="4"/>
          <w:numId w:val="1"/>
        </w:numPr>
        <w:rPr/>
      </w:pPr>
      <w:r>
        <w:rPr/>
        <w:t>Install heat-pipe heat exchangers so supply and exhaust airstreams flow in opposite directions.[</w:t>
      </w:r>
      <w:r>
        <w:rPr>
          <w:b/>
        </w:rPr>
        <w:t> Install flexible connectors on ducts to enable tilt control; make connections airtight and with slack to compensate for full tilt.</w:t>
      </w:r>
      <w:r>
        <w:rPr/>
        <w:t>]</w:t>
      </w:r>
    </w:p>
    <w:p>
      <w:pPr>
        <w:pStyle w:val="PR2"/>
        <w:numPr>
          <w:ilvl w:val="5"/>
          <w:numId w:val="1"/>
        </w:numPr>
        <w:spacing w:before="240" w:after="0"/>
        <w:rPr/>
      </w:pPr>
      <w:r>
        <w:rPr/>
        <w:t>Install heat exchanger with clearance space for heat-pipe coil removal.</w:t>
      </w:r>
    </w:p>
    <w:p>
      <w:pPr>
        <w:pStyle w:val="PR2"/>
        <w:numPr>
          <w:ilvl w:val="5"/>
          <w:numId w:val="1"/>
        </w:numPr>
        <w:rPr/>
      </w:pPr>
      <w:r>
        <w:rPr/>
        <w:t>Install duct access doors in both supply and exhaust ducts, both upstream and downstream, for access to both sides of heat-pipe coil. Access doors and panels are specified in Section 233300 "Air Duct Accessories."</w:t>
      </w:r>
    </w:p>
    <w:p>
      <w:pPr>
        <w:pStyle w:val="PR2"/>
        <w:numPr>
          <w:ilvl w:val="5"/>
          <w:numId w:val="1"/>
        </w:numPr>
        <w:rPr/>
      </w:pPr>
      <w:r>
        <w:rPr/>
        <w:t>Install tilt-control components, including electronic controller, electric actuator and linkage, thermostats, and sensors.</w:t>
      </w:r>
    </w:p>
    <w:p>
      <w:pPr>
        <w:pStyle w:val="PR1"/>
        <w:numPr>
          <w:ilvl w:val="4"/>
          <w:numId w:val="1"/>
        </w:numPr>
        <w:rPr/>
      </w:pPr>
      <w:r>
        <w:rPr/>
        <w:t xml:space="preserve">Install floor-mounted units on </w:t>
      </w:r>
      <w:r>
        <w:rPr>
          <w:rStyle w:val="IP"/>
        </w:rPr>
        <w:t>4-inch-</w:t>
      </w:r>
      <w:r>
        <w:rPr>
          <w:rStyle w:val="SI"/>
        </w:rPr>
        <w:t xml:space="preserve"> (100-mm-)</w:t>
      </w:r>
      <w:r>
        <w:rPr/>
        <w:t xml:space="preserve"> high, concrete base[</w:t>
      </w:r>
      <w:r>
        <w:rPr>
          <w:b/>
        </w:rPr>
        <w:t> designed to withstand, without damage to equipment, seismic force required by code</w:t>
      </w:r>
      <w:r>
        <w:rPr/>
        <w:t>].</w:t>
      </w:r>
    </w:p>
    <w:p>
      <w:pPr>
        <w:pStyle w:val="PR1"/>
        <w:numPr>
          <w:ilvl w:val="4"/>
          <w:numId w:val="1"/>
        </w:numPr>
        <w:rPr/>
      </w:pPr>
      <w:r>
        <w:rPr/>
        <w:t>Equipment Mounting:</w:t>
      </w:r>
    </w:p>
    <w:p>
      <w:pPr>
        <w:pStyle w:val="CMT"/>
        <w:rPr/>
      </w:pPr>
      <w:r>
        <w:rPr/>
        <w:t>Retain subparagraph below to require equipment to be installed on cast-in-place concrete equipment bases without vibration isolation devices.</w:t>
      </w:r>
    </w:p>
    <w:p>
      <w:pPr>
        <w:pStyle w:val="PR2"/>
        <w:numPr>
          <w:ilvl w:val="5"/>
          <w:numId w:val="1"/>
        </w:numPr>
        <w:spacing w:before="240" w:after="0"/>
        <w:rPr/>
      </w:pPr>
      <w:r>
        <w:rPr/>
        <w:t>Install air-to-air energy recovery equipment on cast-in-place concrete equipment bases. Comply with requirements for equipment bases and foundations specified in Section 033000 "Cast-in-Place Concrete."</w:t>
      </w:r>
    </w:p>
    <w:p>
      <w:pPr>
        <w:pStyle w:val="CMT"/>
        <w:rPr/>
      </w:pPr>
      <w:r>
        <w:rPr/>
        <w:t>Retain first paragraph below for air-to-air energy recovery equipment requiring seismic restraints.</w:t>
      </w:r>
    </w:p>
    <w:p>
      <w:pPr>
        <w:pStyle w:val="PR1"/>
        <w:numPr>
          <w:ilvl w:val="4"/>
          <w:numId w:val="1"/>
        </w:numPr>
        <w:rPr/>
      </w:pPr>
      <w:r>
        <w:rPr/>
        <w:t>Install seismic restraints according to manufacturers' written instructions.</w:t>
      </w:r>
    </w:p>
    <w:p>
      <w:pPr>
        <w:pStyle w:val="PR1"/>
        <w:numPr>
          <w:ilvl w:val="4"/>
          <w:numId w:val="1"/>
        </w:numPr>
        <w:rPr/>
      </w:pPr>
      <w:r>
        <w:rPr/>
        <w:t>Install units with clearances for service and maintenance.</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space for service and maintenance.</w:t>
      </w:r>
    </w:p>
    <w:p>
      <w:pPr>
        <w:pStyle w:val="PR1"/>
        <w:numPr>
          <w:ilvl w:val="4"/>
          <w:numId w:val="1"/>
        </w:numPr>
        <w:rPr/>
      </w:pPr>
      <w:r>
        <w:rPr/>
        <w:t>Connect piping to units mounted on vibration isolators with flexible connectors.</w:t>
      </w:r>
    </w:p>
    <w:p>
      <w:pPr>
        <w:pStyle w:val="CMT"/>
        <w:rPr/>
      </w:pPr>
      <w:r>
        <w:rPr/>
        <w:t>Retain one of two "Condensate Drain Piping" paragraphs below.</w:t>
      </w:r>
    </w:p>
    <w:p>
      <w:pPr>
        <w:pStyle w:val="PR1"/>
        <w:numPr>
          <w:ilvl w:val="4"/>
          <w:numId w:val="1"/>
        </w:numPr>
        <w:rPr/>
      </w:pPr>
      <w:r>
        <w:rPr/>
        <w:t xml:space="preserve">Condensate Drain Piping: Pipe drains from drain pans to nearest floor drain; use </w:t>
      </w:r>
      <w:r>
        <w:rPr>
          <w:rStyle w:val="IP"/>
        </w:rPr>
        <w:t>ASTM B88, Type L</w:t>
      </w:r>
      <w:r>
        <w:rPr>
          <w:rStyle w:val="SI"/>
        </w:rPr>
        <w:t xml:space="preserve"> (ASTM B88M, Type B)</w:t>
      </w:r>
      <w:r>
        <w:rPr/>
        <w:t>, drawn-temper copper water tubing with soldered joints, same size as condensate drain connection.</w:t>
      </w:r>
    </w:p>
    <w:p>
      <w:pPr>
        <w:pStyle w:val="PR1"/>
        <w:numPr>
          <w:ilvl w:val="4"/>
          <w:numId w:val="1"/>
        </w:numPr>
        <w:rPr/>
      </w:pPr>
      <w:r>
        <w:rPr/>
        <w:t>Condensate Drain Piping: Pipe drains from drain pans to nearest floor drain; use ASTM D1785, Schedule 40 PVC pipe and solvent-welded fittings, same size as condensate drain connection.</w:t>
      </w:r>
    </w:p>
    <w:p>
      <w:pPr>
        <w:pStyle w:val="PR1"/>
        <w:numPr>
          <w:ilvl w:val="4"/>
          <w:numId w:val="1"/>
        </w:numPr>
        <w:rPr/>
      </w:pPr>
      <w:r>
        <w:rPr/>
        <w:t>Condensate Drain Piping Installation: Extend to nearest equipment or floor drain. Construct deep trap at connection to drain pan and install cleanouts at changes in direction.</w:t>
      </w:r>
    </w:p>
    <w:p>
      <w:pPr>
        <w:pStyle w:val="ART"/>
        <w:numPr>
          <w:ilvl w:val="3"/>
          <w:numId w:val="1"/>
        </w:numPr>
        <w:ind w:hanging="0" w:left="0"/>
        <w:rPr/>
      </w:pPr>
      <w:r>
        <w:rPr/>
        <w:t>ELECTRICAL CONNECTIONS</w:t>
      </w:r>
    </w:p>
    <w:p>
      <w:pPr>
        <w:pStyle w:val="CMT"/>
        <w:rPr/>
      </w:pPr>
      <w:r>
        <w:rPr/>
        <w:t>Do not retain this article if tilt control is not retained in "Control" Paragraph in "Heat-Pipe Heat Exchangers" Article.</w:t>
      </w:r>
    </w:p>
    <w:p>
      <w:pPr>
        <w:pStyle w:val="PR1"/>
        <w:numPr>
          <w:ilvl w:val="4"/>
          <w:numId w:val="1"/>
        </w:numPr>
        <w:rPr/>
      </w:pPr>
      <w:r>
        <w:rPr/>
        <w:t>Connect wiring according to Section 260529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with units,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CMT"/>
        <w:rPr/>
      </w:pPr>
      <w:r>
        <w:rPr/>
        <w:t>Do not retain this article if tilt control is not retained in "Control" Paragraph in "Heat-Pipe Heat Exchangers" Article.</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Do not retain this article if tilt control is not retained in "Control" Paragraph in "Heat-Pipe Heat Exchangers" Article.</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Operational Test: After electrical circuitry has been energized, start units to confirm proper tilt control and unit operation.</w:t>
      </w:r>
    </w:p>
    <w:p>
      <w:pPr>
        <w:pStyle w:val="PR2"/>
        <w:numPr>
          <w:ilvl w:val="5"/>
          <w:numId w:val="1"/>
        </w:numPr>
        <w:rPr/>
      </w:pPr>
      <w:r>
        <w:rPr/>
        <w:t>Test and adjust controls and safeties. Replace damaged and malfunctioning controls and equipment.</w:t>
      </w:r>
    </w:p>
    <w:p>
      <w:pPr>
        <w:pStyle w:val="PR2"/>
        <w:numPr>
          <w:ilvl w:val="5"/>
          <w:numId w:val="1"/>
        </w:numPr>
        <w:rPr/>
      </w:pPr>
      <w:r>
        <w:rPr/>
        <w:t>Set field-adjustable switches and circuit-breaker trip ranges as indicated.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Air-to-air energy recovery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Do not retain this article if tilt control or bypass damper options are not retained in "Control" paragraphs in "Heat-Pipe Heat Exchangers" Article.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electrical systems are complete. Verify that proper thermal-overload protection is installed.</w:t>
      </w:r>
    </w:p>
    <w:p>
      <w:pPr>
        <w:pStyle w:val="PR2"/>
        <w:numPr>
          <w:ilvl w:val="5"/>
          <w:numId w:val="1"/>
        </w:numPr>
        <w:rPr/>
      </w:pPr>
      <w:r>
        <w:rPr/>
        <w:t>Verify tilt mechanism operation.</w:t>
      </w:r>
    </w:p>
    <w:p>
      <w:pPr>
        <w:pStyle w:val="PR2"/>
        <w:numPr>
          <w:ilvl w:val="5"/>
          <w:numId w:val="1"/>
        </w:numPr>
        <w:rPr/>
      </w:pPr>
      <w:r>
        <w:rPr/>
        <w:t>Verify that moving parts are lubricated with factory-recommended lubricants.</w:t>
      </w:r>
    </w:p>
    <w:p>
      <w:pPr>
        <w:pStyle w:val="PR1"/>
        <w:numPr>
          <w:ilvl w:val="4"/>
          <w:numId w:val="1"/>
        </w:numPr>
        <w:rPr/>
      </w:pPr>
      <w:r>
        <w:rPr/>
        <w:t>Starting procedures for air-handling units include the following:</w:t>
      </w:r>
    </w:p>
    <w:p>
      <w:pPr>
        <w:pStyle w:val="PR2"/>
        <w:numPr>
          <w:ilvl w:val="5"/>
          <w:numId w:val="1"/>
        </w:numPr>
        <w:spacing w:before="240" w:after="0"/>
        <w:rPr/>
      </w:pPr>
      <w:r>
        <w:rPr/>
        <w:t>Energize actuator motor and verify proper operation of motor and tilt system.</w:t>
      </w:r>
    </w:p>
    <w:p>
      <w:pPr>
        <w:pStyle w:val="PR2"/>
        <w:numPr>
          <w:ilvl w:val="5"/>
          <w:numId w:val="1"/>
        </w:numPr>
        <w:rPr/>
      </w:pPr>
      <w:r>
        <w:rPr/>
        <w:t>Measure and record motor electrical values for voltage and amperage.</w:t>
      </w:r>
    </w:p>
    <w:p>
      <w:pPr>
        <w:pStyle w:val="PR2"/>
        <w:numPr>
          <w:ilvl w:val="5"/>
          <w:numId w:val="1"/>
        </w:numPr>
        <w:rPr/>
      </w:pPr>
      <w:r>
        <w:rPr/>
        <w:t>Operate bypass dampers from full closed to fully open position.</w:t>
      </w:r>
    </w:p>
    <w:p>
      <w:pPr>
        <w:pStyle w:val="ART"/>
        <w:numPr>
          <w:ilvl w:val="3"/>
          <w:numId w:val="1"/>
        </w:numPr>
        <w:ind w:hanging="0" w:left="0"/>
        <w:rPr/>
      </w:pPr>
      <w:r>
        <w:rPr/>
        <w:t>ADJUSTING</w:t>
      </w:r>
    </w:p>
    <w:p>
      <w:pPr>
        <w:pStyle w:val="PR1"/>
        <w:numPr>
          <w:ilvl w:val="4"/>
          <w:numId w:val="1"/>
        </w:numPr>
        <w:rPr/>
      </w:pPr>
      <w:r>
        <w:rPr/>
        <w:t>Adjust tilt mechanism for proper operation.</w:t>
      </w:r>
    </w:p>
    <w:p>
      <w:pPr>
        <w:pStyle w:val="PR1"/>
        <w:numPr>
          <w:ilvl w:val="4"/>
          <w:numId w:val="1"/>
        </w:numPr>
        <w:rPr/>
      </w:pPr>
      <w:r>
        <w:rPr/>
        <w:t>Adjust bypass dampers for proper operation.</w:t>
      </w:r>
    </w:p>
    <w:p>
      <w:pPr>
        <w:pStyle w:val="PR1"/>
        <w:numPr>
          <w:ilvl w:val="4"/>
          <w:numId w:val="1"/>
        </w:numPr>
        <w:rPr/>
      </w:pPr>
      <w:r>
        <w:rPr/>
        <w:t>Comply with requirements in Section 230593 "Testing, Adjusting, and Balancing for HVAC" for air-handling system testing, adjusting, and balancing.</w:t>
      </w:r>
    </w:p>
    <w:p>
      <w:pPr>
        <w:pStyle w:val="ART"/>
        <w:numPr>
          <w:ilvl w:val="3"/>
          <w:numId w:val="1"/>
        </w:numPr>
        <w:ind w:hanging="0" w:left="0"/>
        <w:rPr/>
      </w:pPr>
      <w:r>
        <w:rPr/>
        <w:t>CLEANING</w:t>
      </w:r>
    </w:p>
    <w:p>
      <w:pPr>
        <w:pStyle w:val="CMT"/>
        <w:rPr/>
      </w:pPr>
      <w:r>
        <w:rPr/>
        <w:t>Retain option in paragraph below if retaining tilt control in "Control" Paragraph in "Heat-Pipe Heat Exchangers" Article.</w:t>
      </w:r>
    </w:p>
    <w:p>
      <w:pPr>
        <w:pStyle w:val="PR1"/>
        <w:numPr>
          <w:ilvl w:val="4"/>
          <w:numId w:val="1"/>
        </w:numPr>
        <w:rPr/>
      </w:pPr>
      <w:r>
        <w:rPr/>
        <w:t>After completing system installation and testing, adjusting, and balancing air-to-air heat recovery unit,[</w:t>
      </w:r>
      <w:r>
        <w:rPr>
          <w:b/>
        </w:rPr>
        <w:t> and after completing startup service,</w:t>
      </w:r>
      <w:r>
        <w:rPr/>
        <w:t>] clean unit to remove foreign material and construction dirt and dust.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heat pipe air-to-air energy recovery units.</w:t>
      </w:r>
    </w:p>
    <w:p>
      <w:pPr>
        <w:pStyle w:val="EOS"/>
        <w:rPr/>
      </w:pPr>
      <w:r>
        <w:rPr/>
        <w:t>END OF SECTION 237216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PIPE AIR-TO-AIR ENERGY RECOVERY UNITS</w:t>
          </w:r>
        </w:p>
      </w:tc>
      <w:tc>
        <w:tcPr>
          <w:tcW w:w="1872" w:type="dxa"/>
          <w:tcBorders/>
        </w:tcPr>
        <w:p>
          <w:pPr>
            <w:pStyle w:val="RJUST"/>
            <w:rPr/>
          </w:pPr>
          <w:r>
            <w:rPr>
              <w:rStyle w:val="NUM"/>
            </w:rPr>
            <w:t>237216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16"/>
    <w:docVar w:name="MF95" w:val="15786"/>
    <w:docVar w:name="MFOrigin" w:val="MF04"/>
    <w:docVar w:name="SpecType" w:val="MasterSpec"/>
    <w:docVar w:name="Version" w:val="142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16&amp;ver=09-01-18&amp;format=FL&amp;sid=14285&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3332&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HEAT PIPE AIR-TO-AIR ENERGY RECOVERY UNITS</dc:subject>
  <dc:title>SECTION 237216 - HEAT PIPE AIR-TO-AIR ENERGY RECOVERY UNITS</dc:title>
</cp:coreProperties>
</file>