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2020 by The American Institute of Architects (AIA)</w:t>
      </w:r>
    </w:p>
    <w:p>
      <w:pPr>
        <w:pStyle w:val="CMT"/>
        <w:rPr/>
      </w:pPr>
      <w:r>
        <w:rPr/>
        <w:t>Exclusively published and distributed by Deltek, Inc. for the AIA</w:t>
      </w:r>
    </w:p>
    <w:p>
      <w:pPr>
        <w:pStyle w:val="SCT"/>
        <w:rPr/>
      </w:pPr>
      <w:r>
        <w:rPr/>
        <w:t xml:space="preserve">SECTION </w:t>
      </w:r>
      <w:r>
        <w:rPr>
          <w:rStyle w:val="NUM"/>
        </w:rPr>
        <w:t>260011</w:t>
      </w:r>
      <w:r>
        <w:rPr/>
        <w:t xml:space="preserve"> - </w:t>
      </w:r>
      <w:r>
        <w:rPr>
          <w:rStyle w:val="NAM"/>
        </w:rPr>
        <w:t>FACILITY PERFORMANCE REQUIREMENTS FOR ELECTRICAL</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CMT"/>
        <w:rPr/>
      </w:pPr>
      <w:r>
        <w:rPr/>
        <w:t>Revise this Section by deleting and inserting text to meet Project-specific requirements.</w:t>
      </w:r>
    </w:p>
    <w:p>
      <w:pPr>
        <w:pStyle w:val="PRT"/>
        <w:keepNext w:val="false"/>
        <w:numPr>
          <w:ilvl w:val="0"/>
          <w:numId w:val="1"/>
        </w:numPr>
        <w:ind w:hanging="0" w:left="0"/>
        <w:rPr/>
      </w:pPr>
      <w:r>
        <w:rPr/>
        <w:t>GENERAL</w:t>
      </w:r>
    </w:p>
    <w:p>
      <w:pPr>
        <w:pStyle w:val="ART"/>
        <w:keepNext w:val="false"/>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Field conditions and other facility performance requirements applicable to Work specified in Division 26.</w:t>
      </w:r>
    </w:p>
    <w:p>
      <w:pPr>
        <w:pStyle w:val="ART"/>
        <w:keepNext w:val="false"/>
        <w:numPr>
          <w:ilvl w:val="3"/>
          <w:numId w:val="1"/>
        </w:numPr>
        <w:ind w:hanging="0" w:left="0"/>
        <w:rPr/>
      </w:pPr>
      <w:r>
        <w:rPr/>
        <w:t>FIELD CONDITIONS</w:t>
      </w:r>
    </w:p>
    <w:p>
      <w:pPr>
        <w:pStyle w:val="PR1"/>
        <w:numPr>
          <w:ilvl w:val="4"/>
          <w:numId w:val="1"/>
        </w:numPr>
        <w:rPr/>
      </w:pPr>
      <w:r>
        <w:rPr/>
        <w:t>Seismic Hazard Design Loads:</w:t>
      </w:r>
    </w:p>
    <w:p>
      <w:pPr>
        <w:pStyle w:val="CMT"/>
        <w:rPr/>
      </w:pPr>
      <w:r>
        <w:rPr/>
        <w:t>ASCE/SEI 7 is generally applicable in most locations, but it is Architect or structural engineer's responsibility to determine the applicable building codes and editions thereof, and applicable seismic design standards that apply to Project. Data and information required for seismic calculations in ASCE/SEI 7 are listed below. ASCE/SEI 7-05, ASCE/SEI 7-10, and ASCE/SEI 7-16 differ somewhat; criteria from all three editions have been included below and have been noted. Architect or structural engineer must delete non-applicable edition references throughout this Section.</w:t>
      </w:r>
    </w:p>
    <w:p>
      <w:pPr>
        <w:pStyle w:val="PR2"/>
        <w:numPr>
          <w:ilvl w:val="5"/>
          <w:numId w:val="1"/>
        </w:numPr>
        <w:spacing w:before="240" w:after="0"/>
        <w:rPr/>
      </w:pPr>
      <w:r>
        <w:rPr/>
        <w:t>Unless otherwise indicated on Contract Documents, specified Work must withstand seismic hazard design loads determined in accordance with requirements specified in this Section, adjusted for installed elevation above or below grade.</w:t>
      </w:r>
    </w:p>
    <w:p>
      <w:pPr>
        <w:pStyle w:val="CMT"/>
        <w:rPr/>
      </w:pPr>
      <w:r>
        <w:rPr/>
        <w:t>Retain subparagraph below to define the term "withstand" as it applies to this Project. Definition varies with type of building and occupancy and is critical to valid certification. Option is used for essential facilities where equipment must operate immediately after an earthquake.</w:t>
      </w:r>
    </w:p>
    <w:p>
      <w:pPr>
        <w:pStyle w:val="PR3"/>
        <w:numPr>
          <w:ilvl w:val="6"/>
          <w:numId w:val="1"/>
        </w:numPr>
        <w:spacing w:before="240" w:after="0"/>
        <w:rPr/>
      </w:pPr>
      <w:r>
        <w:rPr/>
        <w:t>The term "withstand" means "unit must remain in place without separation of parts from unit when subjected to specified seismic hazard design loads[</w:t>
      </w:r>
      <w:r>
        <w:rPr>
          <w:b/>
        </w:rPr>
        <w:t> and unit must be fully operational after seismic event</w:t>
      </w:r>
      <w:r>
        <w:rPr/>
        <w:t>]."</w:t>
      </w:r>
    </w:p>
    <w:p>
      <w:pPr>
        <w:pStyle w:val="CMT"/>
        <w:rPr/>
      </w:pPr>
      <w:r>
        <w:rPr/>
        <w:t>If a calculation method other than that prescribed in any edition of ASCE/SEI 7 is applicable to Project, Architect or structural engineer must revise the Section Text to provide alternative appropriate calculation parameters and instructions for delegated designer in lieu of those given below.</w:t>
      </w:r>
    </w:p>
    <w:p>
      <w:pPr>
        <w:pStyle w:val="PR2"/>
        <w:numPr>
          <w:ilvl w:val="5"/>
          <w:numId w:val="1"/>
        </w:numPr>
        <w:tabs>
          <w:tab w:val="clear" w:pos="1440"/>
          <w:tab w:val="left" w:pos="1476" w:leader="none"/>
        </w:tabs>
        <w:spacing w:before="240" w:after="0"/>
        <w:ind w:hanging="547" w:left="1454" w:right="0"/>
        <w:rPr/>
      </w:pPr>
      <w:r>
        <w:rPr/>
        <w:t>Perform calculations to obtain force information necessary to properly select seismic-restraint devices, fasteners, and anchorage. Perform calculations using methods acceptable to applicable code authorities and as presented in [</w:t>
      </w:r>
      <w:r>
        <w:rPr>
          <w:b/>
        </w:rPr>
        <w:t>ASCE/SEI 7-05</w:t>
      </w:r>
      <w:r>
        <w:rPr/>
        <w:t>] [</w:t>
      </w:r>
      <w:r>
        <w:rPr>
          <w:b/>
        </w:rPr>
        <w:t>ASCE/SEI 7-10 including supplement No. 1</w:t>
      </w:r>
      <w:r>
        <w:rPr/>
        <w:t>] [</w:t>
      </w:r>
      <w:r>
        <w:rPr>
          <w:b/>
        </w:rPr>
        <w:t>ASCE/SEI 7-16</w:t>
      </w:r>
      <w:r>
        <w:rPr/>
        <w:t>] &lt;</w:t>
      </w:r>
      <w:r>
        <w:rPr>
          <w:b/>
        </w:rPr>
        <w:t>Insert ASCE/SEI 7 edition or other seismic calculation method required by authorities having jurisdiction</w:t>
      </w:r>
      <w:r>
        <w:rPr/>
        <w:t>&gt;. Where "ASCE/SEI 7" is used throughout this Section, it must be understood that the edition referred to in this subparagraph is the edition intended as reference throughout the Section Text.</w:t>
      </w:r>
    </w:p>
    <w:p>
      <w:pPr>
        <w:pStyle w:val="PR3"/>
        <w:numPr>
          <w:ilvl w:val="6"/>
          <w:numId w:val="1"/>
        </w:numPr>
        <w:spacing w:before="240" w:after="0"/>
        <w:ind w:left="1987" w:right="0"/>
        <w:rPr/>
      </w:pPr>
      <w:r>
        <w:rPr/>
        <w:t>Data indicated below to be determined by Delegated Design Contractor must be obtained by Contractor and must be included in individual component submittal packages.</w:t>
      </w:r>
    </w:p>
    <w:p>
      <w:pPr>
        <w:pStyle w:val="CMT"/>
        <w:rPr/>
      </w:pPr>
      <w:r>
        <w:rPr/>
        <w:t>Retain first subparagraph below if wind-load design is delegated to Contractor.</w:t>
      </w:r>
    </w:p>
    <w:p>
      <w:pPr>
        <w:pStyle w:val="PR3"/>
        <w:numPr>
          <w:ilvl w:val="6"/>
          <w:numId w:val="1"/>
        </w:numPr>
        <w:ind w:left="1987" w:right="0"/>
        <w:rPr/>
      </w:pPr>
      <w:r>
        <w:rPr/>
        <w:t>Coordinate seismic design calculations with wind-load calculations for equipment mounted outdoors.</w:t>
      </w:r>
    </w:p>
    <w:p>
      <w:pPr>
        <w:pStyle w:val="CMT"/>
        <w:rPr/>
      </w:pPr>
      <w:r>
        <w:rPr/>
        <w:t xml:space="preserve">Data values identified below as applying to all components on Project are to be inserted in these Specifications where indicated in the following list. Data values that are specific to an individual generic component and are indicated to be scheduled should be included in the System Seismic- and Wind-Load Controls Schedule or the individual component schedules on Drawings. Data values that are specific to an individual piece of equipment as provided by Contractor and are indicated to be obtained by Contractor must be included in individual component submittal packages. </w:t>
      </w:r>
    </w:p>
    <w:p>
      <w:pPr>
        <w:pStyle w:val="CMT"/>
        <w:rPr/>
      </w:pPr>
      <w:r>
        <w:rPr/>
        <w:t>The term "Building Occupancy Category" is used in ASCE/SEI 7-05 and earlier editions of ASCE/SEI 7. Select values and retain first subparagraph below.</w:t>
      </w:r>
    </w:p>
    <w:p>
      <w:pPr>
        <w:pStyle w:val="PR3"/>
        <w:numPr>
          <w:ilvl w:val="6"/>
          <w:numId w:val="1"/>
        </w:numPr>
        <w:rPr/>
      </w:pPr>
      <w:r>
        <w:rPr/>
        <w:t>Building Occupancy Category: [</w:t>
      </w:r>
      <w:r>
        <w:rPr>
          <w:b/>
        </w:rPr>
        <w:t>I</w:t>
      </w:r>
      <w:r>
        <w:rPr/>
        <w:t>] [</w:t>
      </w:r>
      <w:r>
        <w:rPr>
          <w:b/>
        </w:rPr>
        <w:t>II</w:t>
      </w:r>
      <w:r>
        <w:rPr/>
        <w:t>] [</w:t>
      </w:r>
      <w:r>
        <w:rPr>
          <w:b/>
        </w:rPr>
        <w:t>III</w:t>
      </w:r>
      <w:r>
        <w:rPr/>
        <w:t>] [</w:t>
      </w:r>
      <w:r>
        <w:rPr>
          <w:b/>
        </w:rPr>
        <w:t>IV</w:t>
      </w:r>
      <w:r>
        <w:rPr/>
        <w:t>].</w:t>
      </w:r>
    </w:p>
    <w:p>
      <w:pPr>
        <w:pStyle w:val="CMT"/>
        <w:rPr/>
      </w:pPr>
      <w:r>
        <w:rPr/>
        <w:t>The term "Building Risk Category" is used in ASCE/SEI 7-10 and ASCE/SEI 7-16. Select value and retain first subparagraph below.</w:t>
      </w:r>
    </w:p>
    <w:p>
      <w:pPr>
        <w:pStyle w:val="PR3"/>
        <w:numPr>
          <w:ilvl w:val="6"/>
          <w:numId w:val="1"/>
        </w:numPr>
        <w:rPr/>
      </w:pPr>
      <w:r>
        <w:rPr/>
        <w:t>Building Risk Category: [</w:t>
      </w:r>
      <w:r>
        <w:rPr>
          <w:b/>
        </w:rPr>
        <w:t>I</w:t>
      </w:r>
      <w:r>
        <w:rPr/>
        <w:t>] [</w:t>
      </w:r>
      <w:r>
        <w:rPr>
          <w:b/>
        </w:rPr>
        <w:t>II</w:t>
      </w:r>
      <w:r>
        <w:rPr/>
        <w:t>] [</w:t>
      </w:r>
      <w:r>
        <w:rPr>
          <w:b/>
        </w:rPr>
        <w:t>III</w:t>
      </w:r>
      <w:r>
        <w:rPr/>
        <w:t>] [</w:t>
      </w:r>
      <w:r>
        <w:rPr>
          <w:b/>
        </w:rPr>
        <w:t>IV</w:t>
      </w:r>
      <w:r>
        <w:rPr/>
        <w:t>].</w:t>
      </w:r>
    </w:p>
    <w:p>
      <w:pPr>
        <w:pStyle w:val="PR3"/>
        <w:numPr>
          <w:ilvl w:val="6"/>
          <w:numId w:val="1"/>
        </w:numPr>
        <w:rPr/>
      </w:pPr>
      <w:r>
        <w:rPr/>
        <w:t>Building Site Classification: [</w:t>
      </w:r>
      <w:r>
        <w:rPr>
          <w:b/>
        </w:rPr>
        <w:t>A</w:t>
      </w:r>
      <w:r>
        <w:rPr/>
        <w:t>] [</w:t>
      </w:r>
      <w:r>
        <w:rPr>
          <w:b/>
        </w:rPr>
        <w:t>B</w:t>
      </w:r>
      <w:r>
        <w:rPr/>
        <w:t>] [</w:t>
      </w:r>
      <w:r>
        <w:rPr>
          <w:b/>
        </w:rPr>
        <w:t>C</w:t>
      </w:r>
      <w:r>
        <w:rPr/>
        <w:t>] [</w:t>
      </w:r>
      <w:r>
        <w:rPr>
          <w:b/>
        </w:rPr>
        <w:t>D</w:t>
      </w:r>
      <w:r>
        <w:rPr/>
        <w:t>] [</w:t>
      </w:r>
      <w:r>
        <w:rPr>
          <w:b/>
        </w:rPr>
        <w:t>E</w:t>
      </w:r>
      <w:r>
        <w:rPr/>
        <w:t>] [</w:t>
      </w:r>
      <w:r>
        <w:rPr>
          <w:b/>
        </w:rPr>
        <w:t>F</w:t>
      </w:r>
      <w:r>
        <w:rPr/>
        <w:t>].</w:t>
      </w:r>
    </w:p>
    <w:p>
      <w:pPr>
        <w:pStyle w:val="CMT"/>
        <w:rPr/>
      </w:pPr>
      <w:r>
        <w:rPr/>
        <w:t>Retain "Calculation Factors, ASCE/SEI 7-16, Ch. 13 - Seismic Design Requirements for Nonstructural Components" Subparagraph below if ASCE/SEI 7-16 applies to this Project.</w:t>
      </w:r>
    </w:p>
    <w:p>
      <w:pPr>
        <w:pStyle w:val="PR2"/>
        <w:numPr>
          <w:ilvl w:val="5"/>
          <w:numId w:val="1"/>
        </w:numPr>
        <w:tabs>
          <w:tab w:val="clear" w:pos="1440"/>
          <w:tab w:val="left" w:pos="1476" w:leader="none"/>
        </w:tabs>
        <w:spacing w:before="240" w:after="0"/>
        <w:ind w:hanging="547" w:left="1454" w:right="0"/>
        <w:rPr/>
      </w:pPr>
      <w:r>
        <w:rPr/>
        <w:t>Calculation Factors, ASCE/SEI 7-16, Ch. 13 - Seismic Design Requirements for Nonstructural Components: All section, paragraph, equation, and table numbers refer to ASCE/SEI 7-16 unless otherwise indicated.</w:t>
      </w:r>
    </w:p>
    <w:p>
      <w:pPr>
        <w:pStyle w:val="PR3"/>
        <w:numPr>
          <w:ilvl w:val="6"/>
          <w:numId w:val="1"/>
        </w:numPr>
        <w:spacing w:before="240" w:after="0"/>
        <w:ind w:left="1987" w:right="0"/>
        <w:rPr/>
      </w:pPr>
      <w:r>
        <w:rPr/>
        <w:t>Horizontal Seismic Design Force F</w:t>
      </w:r>
      <w:r>
        <w:rPr>
          <w:vertAlign w:val="subscript"/>
        </w:rPr>
        <w:t>p</w:t>
      </w:r>
      <w:r>
        <w:rPr/>
        <w:t>: Value must be calculated by Delegated Design Contractor using Equation 13.3-1. Factors below must be obtained for this calculation:</w:t>
      </w:r>
    </w:p>
    <w:p>
      <w:pPr>
        <w:pStyle w:val="CMT"/>
        <w:spacing w:before="240" w:after="240"/>
        <w:rPr/>
      </w:pPr>
      <w:r>
        <w:rPr/>
        <w:t>"Spectral Acceleration" value applies to all components on Project. Value must be based on ASCE/SEI 7-16 Section 11.4.5.</w:t>
      </w:r>
    </w:p>
    <w:p>
      <w:pPr>
        <w:pStyle w:val="PR4"/>
        <w:numPr>
          <w:ilvl w:val="7"/>
          <w:numId w:val="1"/>
        </w:numPr>
        <w:rPr/>
      </w:pPr>
      <w:r>
        <w:rPr/>
        <w:t>Spectral Acceleration (S</w:t>
      </w:r>
      <w:r>
        <w:rPr>
          <w:vertAlign w:val="subscript"/>
        </w:rPr>
        <w:t>DS</w:t>
      </w:r>
      <w:r>
        <w:rPr/>
        <w:t>): &lt;</w:t>
      </w:r>
      <w:r>
        <w:rPr>
          <w:b/>
        </w:rPr>
        <w:t>Insert value</w:t>
      </w:r>
      <w:r>
        <w:rPr/>
        <w:t>&gt;. Value applies to all components on Project.</w:t>
      </w:r>
    </w:p>
    <w:p>
      <w:pPr>
        <w:pStyle w:val="CMT"/>
        <w:rPr/>
      </w:pPr>
      <w:r>
        <w:rPr/>
        <w:t>"Component Amplification Factor" for each component is explained in ASCE/SEI 7-16 Section 13.6.1. List on Drawing Schedule for each component.</w:t>
      </w:r>
    </w:p>
    <w:p>
      <w:pPr>
        <w:pStyle w:val="PR4"/>
        <w:numPr>
          <w:ilvl w:val="7"/>
          <w:numId w:val="1"/>
        </w:numPr>
        <w:rPr/>
      </w:pPr>
      <w:r>
        <w:rPr/>
        <w:t>Component Amplification Factor (a</w:t>
      </w:r>
      <w:r>
        <w:rPr>
          <w:vertAlign w:val="subscript"/>
        </w:rPr>
        <w:t>p</w:t>
      </w:r>
      <w:r>
        <w:rPr/>
        <w:t>): See Drawing Schedule for each component.</w:t>
      </w:r>
    </w:p>
    <w:p>
      <w:pPr>
        <w:pStyle w:val="CMT"/>
        <w:rPr/>
      </w:pPr>
      <w:r>
        <w:rPr/>
        <w:t>"Component Importance Factor" is assigned as explained in ASCE/SEI 7-16 Section 13.1.3. List on Drawing Schedule for each component.</w:t>
      </w:r>
    </w:p>
    <w:p>
      <w:pPr>
        <w:pStyle w:val="PR4"/>
        <w:numPr>
          <w:ilvl w:val="7"/>
          <w:numId w:val="1"/>
        </w:numPr>
        <w:rPr/>
      </w:pPr>
      <w:r>
        <w:rPr/>
        <w:t>Component Importance Factor (I</w:t>
      </w:r>
      <w:r>
        <w:rPr>
          <w:vertAlign w:val="subscript"/>
        </w:rPr>
        <w:t>p</w:t>
      </w:r>
      <w:r>
        <w:rPr/>
        <w:t>): See Drawing Schedule for each component.</w:t>
      </w:r>
    </w:p>
    <w:p>
      <w:pPr>
        <w:pStyle w:val="PR4"/>
        <w:numPr>
          <w:ilvl w:val="7"/>
          <w:numId w:val="1"/>
        </w:numPr>
        <w:rPr/>
      </w:pPr>
      <w:r>
        <w:rPr/>
        <w:t>Component Operating Weight (W</w:t>
      </w:r>
      <w:r>
        <w:rPr>
          <w:vertAlign w:val="subscript"/>
        </w:rPr>
        <w:t>p</w:t>
      </w:r>
      <w:r>
        <w:rPr/>
        <w:t>): For each component. Obtain by Delegated Design Contractor from each component submittal.</w:t>
      </w:r>
    </w:p>
    <w:p>
      <w:pPr>
        <w:pStyle w:val="CMT"/>
        <w:rPr/>
      </w:pPr>
      <w:r>
        <w:rPr/>
        <w:t>"Component Response Modification Factor" is selected from ASCE/SEI 7-16, Table 13.6-1. List on Drawing Schedule for each component.</w:t>
      </w:r>
    </w:p>
    <w:p>
      <w:pPr>
        <w:pStyle w:val="PR4"/>
        <w:numPr>
          <w:ilvl w:val="7"/>
          <w:numId w:val="1"/>
        </w:numPr>
        <w:rPr/>
      </w:pPr>
      <w:r>
        <w:rPr/>
        <w:t>Component Response Modification Factor (R</w:t>
      </w:r>
      <w:r>
        <w:rPr>
          <w:vertAlign w:val="subscript"/>
        </w:rPr>
        <w:t>p</w:t>
      </w:r>
      <w:r>
        <w:rPr/>
        <w:t>): See Drawing Schedule for each component.</w:t>
      </w:r>
    </w:p>
    <w:p>
      <w:pPr>
        <w:pStyle w:val="PR4"/>
        <w:numPr>
          <w:ilvl w:val="7"/>
          <w:numId w:val="1"/>
        </w:numPr>
        <w:rPr/>
      </w:pPr>
      <w:r>
        <w:rPr/>
        <w:t>Height in Structure of Point of Attachment of Component for Base (z): Determine from Project Drawings for each component by Delegated Design Contractor. For items at or below the base, "z" must be taken as zero.</w:t>
      </w:r>
    </w:p>
    <w:p>
      <w:pPr>
        <w:pStyle w:val="PR4"/>
        <w:numPr>
          <w:ilvl w:val="7"/>
          <w:numId w:val="1"/>
        </w:numPr>
        <w:rPr/>
      </w:pPr>
      <w:r>
        <w:rPr/>
        <w:t>Average Roof Height of Structure for Base (h): Determine from Project Drawings by Delegated Design Contractor.</w:t>
      </w:r>
    </w:p>
    <w:p>
      <w:pPr>
        <w:pStyle w:val="PR3"/>
        <w:numPr>
          <w:ilvl w:val="6"/>
          <w:numId w:val="1"/>
        </w:numPr>
        <w:spacing w:before="240" w:after="0"/>
        <w:ind w:left="1987" w:right="0"/>
        <w:rPr/>
      </w:pPr>
      <w:r>
        <w:rPr/>
        <w:t>Vertical Seismic Design Force: Calculated by Delegated Design Contractor using method explained in ASCE/SEI 7-16, Paragraph 13.3.1.2.</w:t>
      </w:r>
    </w:p>
    <w:p>
      <w:pPr>
        <w:pStyle w:val="PR3"/>
        <w:numPr>
          <w:ilvl w:val="6"/>
          <w:numId w:val="1"/>
        </w:numPr>
        <w:ind w:left="1987" w:right="0"/>
        <w:rPr/>
      </w:pPr>
      <w:r>
        <w:rPr/>
        <w:t>Seismic Relative Displacement (D</w:t>
      </w:r>
      <w:r>
        <w:rPr>
          <w:vertAlign w:val="subscript"/>
        </w:rPr>
        <w:t>pl</w:t>
      </w:r>
      <w:r>
        <w:rPr/>
        <w:t>): Calculated by Delegated Design Contractor using methods explained in ASCE/SEI 7-16, Paragraph 13.3.2. Factors below must be obtained for this calculation:</w:t>
      </w:r>
    </w:p>
    <w:p>
      <w:pPr>
        <w:pStyle w:val="PR4"/>
        <w:numPr>
          <w:ilvl w:val="7"/>
          <w:numId w:val="1"/>
        </w:numPr>
        <w:spacing w:before="240" w:after="0"/>
        <w:rPr/>
      </w:pPr>
      <w:r>
        <w:rPr/>
        <w:t>Relative Seismic Displacement that Each Component Must Be Designed to Accommodate (D</w:t>
      </w:r>
      <w:r>
        <w:rPr>
          <w:vertAlign w:val="subscript"/>
        </w:rPr>
        <w:t>p</w:t>
      </w:r>
      <w:r>
        <w:rPr/>
        <w:t>): Calculated by Delegated Design Contractor in accordance with ASCE/SEI 7-16, Paragraph 13.3.2.</w:t>
      </w:r>
    </w:p>
    <w:p>
      <w:pPr>
        <w:pStyle w:val="CMT"/>
        <w:rPr/>
      </w:pPr>
      <w:r>
        <w:rPr/>
        <w:t>"Structure Importance Factor" is obtained from ASCE/SEI 7-16 Section 11.5.1.</w:t>
      </w:r>
    </w:p>
    <w:p>
      <w:pPr>
        <w:pStyle w:val="PR4"/>
        <w:numPr>
          <w:ilvl w:val="7"/>
          <w:numId w:val="1"/>
        </w:numPr>
        <w:rPr/>
      </w:pPr>
      <w:r>
        <w:rPr/>
        <w:t>Structure Importance Factor (I</w:t>
      </w:r>
      <w:r>
        <w:rPr>
          <w:vertAlign w:val="subscript"/>
        </w:rPr>
        <w:t>e</w:t>
      </w:r>
      <w:r>
        <w:rPr/>
        <w:t>): &lt;</w:t>
      </w:r>
      <w:r>
        <w:rPr>
          <w:b/>
        </w:rPr>
        <w:t>Insert value</w:t>
      </w:r>
      <w:r>
        <w:rPr/>
        <w:t>&gt;. Value applies to all components on Project.</w:t>
      </w:r>
    </w:p>
    <w:p>
      <w:pPr>
        <w:pStyle w:val="CMT"/>
        <w:rPr/>
      </w:pPr>
      <w:r>
        <w:rPr/>
        <w:t>"Deflection at Building Level x of Structure A" value is determined for each component in building in accordance with ASCE/SEI 7-16, Equation 12.8-15 and depends upon location of component in the building.</w:t>
      </w:r>
    </w:p>
    <w:p>
      <w:pPr>
        <w:pStyle w:val="PR4"/>
        <w:numPr>
          <w:ilvl w:val="7"/>
          <w:numId w:val="1"/>
        </w:numPr>
        <w:rPr/>
      </w:pPr>
      <w:r>
        <w:rPr/>
        <w:t>Deflection at Building Level x of Structure A (δ</w:t>
      </w:r>
      <w:r>
        <w:rPr>
          <w:vertAlign w:val="subscript"/>
        </w:rPr>
        <w:t>xA</w:t>
      </w:r>
      <w:r>
        <w:rPr/>
        <w:t>): See Drawing Schedule for each component.</w:t>
      </w:r>
    </w:p>
    <w:p>
      <w:pPr>
        <w:pStyle w:val="CMT"/>
        <w:rPr/>
      </w:pPr>
      <w:r>
        <w:rPr/>
        <w:t>"Deflection at Building Level y of Structure A" value is determined for each component in building in accordance with ASCE/SEI 7-16, Equation 12.8-15 and depends upon location of component in the building.</w:t>
      </w:r>
    </w:p>
    <w:p>
      <w:pPr>
        <w:pStyle w:val="PR4"/>
        <w:numPr>
          <w:ilvl w:val="7"/>
          <w:numId w:val="1"/>
        </w:numPr>
        <w:rPr/>
      </w:pPr>
      <w:r>
        <w:rPr/>
        <w:t>Deflection at Building Level y of Structure A (δ</w:t>
      </w:r>
      <w:r>
        <w:rPr>
          <w:vertAlign w:val="subscript"/>
        </w:rPr>
        <w:t>yA</w:t>
      </w:r>
      <w:r>
        <w:rPr/>
        <w:t>): See Drawing Schedule for each component.</w:t>
      </w:r>
    </w:p>
    <w:p>
      <w:pPr>
        <w:pStyle w:val="CMT"/>
        <w:rPr/>
      </w:pPr>
      <w:r>
        <w:rPr/>
        <w:t>"Deflection at Building Level y of Structure B" value is determined for each component in building in accordance with ASCE/SEI 7-16, Equation 12.8-15 and depends upon location of component in the building.</w:t>
      </w:r>
    </w:p>
    <w:p>
      <w:pPr>
        <w:pStyle w:val="PR4"/>
        <w:numPr>
          <w:ilvl w:val="7"/>
          <w:numId w:val="1"/>
        </w:numPr>
        <w:rPr/>
      </w:pPr>
      <w:r>
        <w:rPr/>
        <w:t>Deflection at Building Level y of Structure B (δ</w:t>
      </w:r>
      <w:r>
        <w:rPr>
          <w:vertAlign w:val="subscript"/>
        </w:rPr>
        <w:t>yB</w:t>
      </w:r>
      <w:r>
        <w:rPr/>
        <w:t>): See Drawing Schedule for each component.</w:t>
      </w:r>
    </w:p>
    <w:p>
      <w:pPr>
        <w:pStyle w:val="PR4"/>
        <w:numPr>
          <w:ilvl w:val="7"/>
          <w:numId w:val="1"/>
        </w:numPr>
        <w:rPr/>
      </w:pPr>
      <w:r>
        <w:rPr/>
        <w:t>Height of Level x to Which Upper Connection Point Is Attached (h</w:t>
      </w:r>
      <w:r>
        <w:rPr>
          <w:vertAlign w:val="subscript"/>
        </w:rPr>
        <w:t>x</w:t>
      </w:r>
      <w:r>
        <w:rPr/>
        <w:t>): Determine for each component by Delegated Design Contractor from Project Drawings and manufacturer's data.</w:t>
      </w:r>
    </w:p>
    <w:p>
      <w:pPr>
        <w:pStyle w:val="PR4"/>
        <w:numPr>
          <w:ilvl w:val="7"/>
          <w:numId w:val="1"/>
        </w:numPr>
        <w:rPr/>
      </w:pPr>
      <w:r>
        <w:rPr/>
        <w:t>Height of Level y to Which Upper Connection Point Is Attached (h</w:t>
      </w:r>
      <w:r>
        <w:rPr>
          <w:vertAlign w:val="subscript"/>
        </w:rPr>
        <w:t>y</w:t>
      </w:r>
      <w:r>
        <w:rPr/>
        <w:t>): Determine for each component by Delegated Design Contractor from Project Drawings and manufacturer's data.</w:t>
      </w:r>
    </w:p>
    <w:p>
      <w:pPr>
        <w:pStyle w:val="CMT"/>
        <w:rPr/>
      </w:pPr>
      <w:r>
        <w:rPr/>
        <w:t>"Allowable Story Drift for Structure A" value is determined in accordance with ASCE/SEI 7-16, Equation 12.12-1 and depends upon location of component in the building.</w:t>
      </w:r>
    </w:p>
    <w:p>
      <w:pPr>
        <w:pStyle w:val="PR4"/>
        <w:numPr>
          <w:ilvl w:val="7"/>
          <w:numId w:val="1"/>
        </w:numPr>
        <w:rPr/>
      </w:pPr>
      <w:r>
        <w:rPr/>
        <w:t>Allowable Story Drift for Structure A (Δ</w:t>
      </w:r>
      <w:r>
        <w:rPr>
          <w:vertAlign w:val="subscript"/>
        </w:rPr>
        <w:t>aA</w:t>
      </w:r>
      <w:r>
        <w:rPr/>
        <w:t>): See Drawing Schedule for each component.</w:t>
      </w:r>
    </w:p>
    <w:p>
      <w:pPr>
        <w:pStyle w:val="CMT"/>
        <w:rPr/>
      </w:pPr>
      <w:r>
        <w:rPr/>
        <w:t>"Allowable Story Drift for Structure B" value is determined in accordance with ASCE/SEI 7-16, Equation 12.12-1 and depends upon location of component in the building.</w:t>
      </w:r>
    </w:p>
    <w:p>
      <w:pPr>
        <w:pStyle w:val="PR4"/>
        <w:numPr>
          <w:ilvl w:val="7"/>
          <w:numId w:val="1"/>
        </w:numPr>
        <w:rPr/>
      </w:pPr>
      <w:r>
        <w:rPr/>
        <w:t>Allowable Story Drift for Structure B (Δ</w:t>
      </w:r>
      <w:r>
        <w:rPr>
          <w:vertAlign w:val="subscript"/>
        </w:rPr>
        <w:t>aB</w:t>
      </w:r>
      <w:r>
        <w:rPr/>
        <w:t>): See Drawing Schedule for each component.</w:t>
      </w:r>
    </w:p>
    <w:p>
      <w:pPr>
        <w:pStyle w:val="CMT"/>
        <w:rPr/>
      </w:pPr>
      <w:r>
        <w:rPr/>
        <w:t>"Story Height Used in the Definition of the Allowable Drift" value is determined in accordance with ASCE/SEI 7-16, Table 12.12-1 and depends upon location of component in the building.</w:t>
      </w:r>
    </w:p>
    <w:p>
      <w:pPr>
        <w:pStyle w:val="PR4"/>
        <w:numPr>
          <w:ilvl w:val="7"/>
          <w:numId w:val="1"/>
        </w:numPr>
        <w:rPr/>
      </w:pPr>
      <w:r>
        <w:rPr/>
        <w:t>Story Height Used in the Definition of the Allowable Drift Δ</w:t>
      </w:r>
      <w:r>
        <w:rPr>
          <w:vertAlign w:val="subscript"/>
        </w:rPr>
        <w:t>a</w:t>
      </w:r>
      <w:r>
        <w:rPr/>
        <w:t xml:space="preserve"> (h</w:t>
      </w:r>
      <w:r>
        <w:rPr>
          <w:vertAlign w:val="subscript"/>
        </w:rPr>
        <w:t>sx</w:t>
      </w:r>
      <w:r>
        <w:rPr/>
        <w:t>): See Drawings Schedules for each component.</w:t>
      </w:r>
    </w:p>
    <w:p>
      <w:pPr>
        <w:pStyle w:val="PR3"/>
        <w:numPr>
          <w:ilvl w:val="6"/>
          <w:numId w:val="1"/>
        </w:numPr>
        <w:spacing w:before="240" w:after="0"/>
        <w:ind w:left="1987" w:right="0"/>
        <w:rPr/>
      </w:pPr>
      <w:r>
        <w:rPr/>
        <w:t>Component Fundamental Period (T</w:t>
      </w:r>
      <w:r>
        <w:rPr>
          <w:vertAlign w:val="subscript"/>
        </w:rPr>
        <w:t>p</w:t>
      </w:r>
      <w:r>
        <w:rPr/>
        <w:t>): Calculated by Delegated Design Contractor using methods explained in ASCE/SEI 7-16, Paragraph 13.3.3. Factors below must be obtained for this calculation:</w:t>
      </w:r>
    </w:p>
    <w:p>
      <w:pPr>
        <w:pStyle w:val="PR4"/>
        <w:numPr>
          <w:ilvl w:val="7"/>
          <w:numId w:val="1"/>
        </w:numPr>
        <w:spacing w:before="240" w:after="0"/>
        <w:rPr/>
      </w:pPr>
      <w:r>
        <w:rPr/>
        <w:t>Component Operating Weight (W</w:t>
      </w:r>
      <w:r>
        <w:rPr>
          <w:vertAlign w:val="subscript"/>
        </w:rPr>
        <w:t>p</w:t>
      </w:r>
      <w:r>
        <w:rPr/>
        <w:t>): Determined by Contractor from Project Drawings and manufacturer's data.</w:t>
      </w:r>
    </w:p>
    <w:p>
      <w:pPr>
        <w:pStyle w:val="PR4"/>
        <w:numPr>
          <w:ilvl w:val="7"/>
          <w:numId w:val="1"/>
        </w:numPr>
        <w:rPr/>
      </w:pPr>
      <w:r>
        <w:rPr/>
        <w:t>Gravitational Acceleration (g): [</w:t>
      </w:r>
      <w:r>
        <w:rPr>
          <w:rStyle w:val="IP"/>
          <w:b/>
        </w:rPr>
        <w:t>32.17 ft./s</w:t>
      </w:r>
      <w:r>
        <w:rPr>
          <w:rStyle w:val="IP"/>
          <w:b/>
          <w:vertAlign w:val="superscript"/>
        </w:rPr>
        <w:t>2</w:t>
      </w:r>
      <w:r>
        <w:rPr>
          <w:rStyle w:val="SI"/>
          <w:b/>
        </w:rPr>
        <w:t xml:space="preserve"> (9.81 m/s</w:t>
      </w:r>
      <w:r>
        <w:rPr>
          <w:rStyle w:val="SI"/>
          <w:b/>
          <w:vertAlign w:val="superscript"/>
        </w:rPr>
        <w:t>2</w:t>
      </w:r>
      <w:r>
        <w:rPr>
          <w:rStyle w:val="SI"/>
          <w:b/>
        </w:rPr>
        <w:t>)</w:t>
      </w:r>
      <w:r>
        <w:rPr/>
        <w:t>] &lt;</w:t>
      </w:r>
      <w:r>
        <w:rPr>
          <w:b/>
        </w:rPr>
        <w:t>Insert option</w:t>
      </w:r>
      <w:r>
        <w:rPr/>
        <w:t>&gt;.</w:t>
      </w:r>
    </w:p>
    <w:p>
      <w:pPr>
        <w:pStyle w:val="PR4"/>
        <w:numPr>
          <w:ilvl w:val="7"/>
          <w:numId w:val="1"/>
        </w:numPr>
        <w:rPr/>
      </w:pPr>
      <w:r>
        <w:rPr/>
        <w:t>Combined Stiffness of the Component, Supports, and Attachments (K</w:t>
      </w:r>
      <w:r>
        <w:rPr>
          <w:vertAlign w:val="subscript"/>
        </w:rPr>
        <w:t>p</w:t>
      </w:r>
      <w:r>
        <w:rPr/>
        <w:t>): Determined by delegated design seismic engineer. &lt;</w:t>
      </w:r>
      <w:r>
        <w:rPr>
          <w:b/>
        </w:rPr>
        <w:t>Insert value</w:t>
      </w:r>
      <w:r>
        <w:rPr/>
        <w:t>&gt;.</w:t>
      </w:r>
    </w:p>
    <w:p>
      <w:pPr>
        <w:pStyle w:val="CMT"/>
        <w:rPr/>
      </w:pPr>
      <w:r>
        <w:rPr/>
        <w:t>Retain "Calculation Factors, ASCE/SEI 7-10, Ch. 13 - Seismic Design Requirements for Nonstructural Components" Subparagraph below if ASCE/SEI 7-10 applies to this Project.</w:t>
      </w:r>
    </w:p>
    <w:p>
      <w:pPr>
        <w:pStyle w:val="PR2"/>
        <w:numPr>
          <w:ilvl w:val="5"/>
          <w:numId w:val="1"/>
        </w:numPr>
        <w:tabs>
          <w:tab w:val="clear" w:pos="1440"/>
          <w:tab w:val="left" w:pos="1476" w:leader="none"/>
        </w:tabs>
        <w:spacing w:before="240" w:after="0"/>
        <w:ind w:hanging="547" w:left="1454" w:right="0"/>
        <w:rPr/>
      </w:pPr>
      <w:r>
        <w:rPr/>
        <w:t>Calculation Factors, ASCE/SEI 7-10, Ch. 13 - Seismic Design Requirements for Nonstructural Components: All section, paragraph, equation, and table numbers refer to ASCE/SEI 7-10 unless otherwise indicated.</w:t>
      </w:r>
    </w:p>
    <w:p>
      <w:pPr>
        <w:pStyle w:val="PR3"/>
        <w:numPr>
          <w:ilvl w:val="6"/>
          <w:numId w:val="1"/>
        </w:numPr>
        <w:spacing w:before="240" w:after="0"/>
        <w:ind w:left="1987" w:right="0"/>
        <w:rPr/>
      </w:pPr>
      <w:r>
        <w:rPr/>
        <w:t>Horizontal Seismic Design Force (F</w:t>
      </w:r>
      <w:r>
        <w:rPr>
          <w:vertAlign w:val="subscript"/>
        </w:rPr>
        <w:t>p</w:t>
      </w:r>
      <w:r>
        <w:rPr/>
        <w:t>): Calculated by Delegated Design Contractor by ASCE/SEI 7-10, Equation 13.3-1. Factors below must be obtained for this calculation:</w:t>
      </w:r>
    </w:p>
    <w:p>
      <w:pPr>
        <w:pStyle w:val="CMT"/>
        <w:spacing w:before="240" w:after="240"/>
        <w:rPr/>
      </w:pPr>
      <w:r>
        <w:rPr/>
        <w:t>"Spectral Acceleration" value applies to all components on Project. Value must be based on ASCE/SEI 7-10 Section 11.4.5.</w:t>
      </w:r>
    </w:p>
    <w:p>
      <w:pPr>
        <w:pStyle w:val="PR4"/>
        <w:numPr>
          <w:ilvl w:val="7"/>
          <w:numId w:val="1"/>
        </w:numPr>
        <w:rPr/>
      </w:pPr>
      <w:r>
        <w:rPr/>
        <w:t>Spectral Acceleration (S</w:t>
      </w:r>
      <w:r>
        <w:rPr>
          <w:vertAlign w:val="subscript"/>
        </w:rPr>
        <w:t>DS</w:t>
      </w:r>
      <w:r>
        <w:rPr/>
        <w:t>): &lt;</w:t>
      </w:r>
      <w:r>
        <w:rPr>
          <w:b/>
        </w:rPr>
        <w:t>Insert value</w:t>
      </w:r>
      <w:r>
        <w:rPr/>
        <w:t>&gt;. Value applies to all components on Project.</w:t>
      </w:r>
    </w:p>
    <w:p>
      <w:pPr>
        <w:pStyle w:val="CMT"/>
        <w:rPr/>
      </w:pPr>
      <w:r>
        <w:rPr/>
        <w:t>"Component Amplification Factor" is selected as explained in ASCE/SEI 7-10 Section 13.6.1. List on Drawing Schedule for each component.</w:t>
      </w:r>
    </w:p>
    <w:p>
      <w:pPr>
        <w:pStyle w:val="PR4"/>
        <w:numPr>
          <w:ilvl w:val="7"/>
          <w:numId w:val="1"/>
        </w:numPr>
        <w:rPr/>
      </w:pPr>
      <w:r>
        <w:rPr/>
        <w:t>Component Amplification Factor (a</w:t>
      </w:r>
      <w:r>
        <w:rPr>
          <w:vertAlign w:val="subscript"/>
        </w:rPr>
        <w:t>p</w:t>
      </w:r>
      <w:r>
        <w:rPr/>
        <w:t>): See Drawing Schedule for each component.</w:t>
      </w:r>
    </w:p>
    <w:p>
      <w:pPr>
        <w:pStyle w:val="CMT"/>
        <w:rPr/>
      </w:pPr>
      <w:r>
        <w:rPr/>
        <w:t>"Component Importance Factor" for each component is selected as explained in ASCE/SEI 7-10 Section 13.1.3. List on Drawing Schedule for each component.</w:t>
      </w:r>
    </w:p>
    <w:p>
      <w:pPr>
        <w:pStyle w:val="PR4"/>
        <w:numPr>
          <w:ilvl w:val="7"/>
          <w:numId w:val="1"/>
        </w:numPr>
        <w:rPr/>
      </w:pPr>
      <w:r>
        <w:rPr/>
        <w:t>Component Importance Factor (I</w:t>
      </w:r>
      <w:r>
        <w:rPr>
          <w:vertAlign w:val="subscript"/>
        </w:rPr>
        <w:t>p</w:t>
      </w:r>
      <w:r>
        <w:rPr/>
        <w:t>): See Drawing Schedule for each component.</w:t>
      </w:r>
    </w:p>
    <w:p>
      <w:pPr>
        <w:pStyle w:val="PR4"/>
        <w:numPr>
          <w:ilvl w:val="7"/>
          <w:numId w:val="1"/>
        </w:numPr>
        <w:rPr/>
      </w:pPr>
      <w:r>
        <w:rPr/>
        <w:t>Component Operating Weight (W</w:t>
      </w:r>
      <w:r>
        <w:rPr>
          <w:vertAlign w:val="subscript"/>
        </w:rPr>
        <w:t>p</w:t>
      </w:r>
      <w:r>
        <w:rPr/>
        <w:t>): For each component. Obtain by Delegated Design Contractor from equipment submittal.</w:t>
      </w:r>
    </w:p>
    <w:p>
      <w:pPr>
        <w:pStyle w:val="CMT"/>
        <w:rPr/>
      </w:pPr>
      <w:r>
        <w:rPr/>
        <w:t>"Component Response Modification Factor" is selected from ASCE/SEI 7-10, Table 13.6-1. List on Drawing Schedule for each component.</w:t>
      </w:r>
    </w:p>
    <w:p>
      <w:pPr>
        <w:pStyle w:val="PR4"/>
        <w:numPr>
          <w:ilvl w:val="7"/>
          <w:numId w:val="1"/>
        </w:numPr>
        <w:rPr/>
      </w:pPr>
      <w:r>
        <w:rPr/>
        <w:t>Component Response Modification Factor (R</w:t>
      </w:r>
      <w:r>
        <w:rPr>
          <w:vertAlign w:val="subscript"/>
        </w:rPr>
        <w:t>p</w:t>
      </w:r>
      <w:r>
        <w:rPr/>
        <w:t>): See Drawing Schedule for each component.</w:t>
      </w:r>
    </w:p>
    <w:p>
      <w:pPr>
        <w:pStyle w:val="PR4"/>
        <w:numPr>
          <w:ilvl w:val="7"/>
          <w:numId w:val="1"/>
        </w:numPr>
        <w:rPr/>
      </w:pPr>
      <w:r>
        <w:rPr/>
        <w:t>Height in Structure of Point of Attachment of Component for Base (z): Determined from Project Drawings for each component by Contractor. For items at or below the base, "z" must be taken as zero.</w:t>
      </w:r>
    </w:p>
    <w:p>
      <w:pPr>
        <w:pStyle w:val="PR4"/>
        <w:numPr>
          <w:ilvl w:val="7"/>
          <w:numId w:val="1"/>
        </w:numPr>
        <w:rPr/>
      </w:pPr>
      <w:r>
        <w:rPr/>
        <w:t>Average Roof Height of Structure for Base (h): Determine from Project Drawings by Delegated Design Contractor.</w:t>
      </w:r>
    </w:p>
    <w:p>
      <w:pPr>
        <w:pStyle w:val="PR3"/>
        <w:numPr>
          <w:ilvl w:val="6"/>
          <w:numId w:val="1"/>
        </w:numPr>
        <w:spacing w:before="240" w:after="0"/>
        <w:ind w:left="1987" w:right="0"/>
        <w:rPr/>
      </w:pPr>
      <w:r>
        <w:rPr/>
        <w:t>Vertical Seismic Design Force: Calculate by Delegated Design Contractor using method explained in ASCE/SEI 7-10, Paragraph 13.3.1.</w:t>
      </w:r>
    </w:p>
    <w:p>
      <w:pPr>
        <w:pStyle w:val="PR3"/>
        <w:numPr>
          <w:ilvl w:val="6"/>
          <w:numId w:val="1"/>
        </w:numPr>
        <w:ind w:left="1987" w:right="0"/>
        <w:rPr/>
      </w:pPr>
      <w:r>
        <w:rPr/>
        <w:t>Seismic Relative Displacement (D</w:t>
      </w:r>
      <w:r>
        <w:rPr>
          <w:vertAlign w:val="subscript"/>
        </w:rPr>
        <w:t>pl</w:t>
      </w:r>
      <w:r>
        <w:rPr/>
        <w:t>): Calculate by Delegated Design Contractor using methods explained in ASCE/SEI 7-10, Paragraph 13.3.2. Factors below must be obtained for this calculation:</w:t>
      </w:r>
    </w:p>
    <w:p>
      <w:pPr>
        <w:pStyle w:val="PR4"/>
        <w:numPr>
          <w:ilvl w:val="7"/>
          <w:numId w:val="1"/>
        </w:numPr>
        <w:spacing w:before="240" w:after="0"/>
        <w:rPr/>
      </w:pPr>
      <w:r>
        <w:rPr/>
        <w:t>Relative Seismic Displacement that Each Component Must Be Designed to Accommodate (D</w:t>
      </w:r>
      <w:r>
        <w:rPr>
          <w:vertAlign w:val="subscript"/>
        </w:rPr>
        <w:t>p</w:t>
      </w:r>
      <w:r>
        <w:rPr/>
        <w:t>): Calculate by Delegated Design Contractor in accordance with ASCE/SEI 7-10, Paragraph 13.3.2.</w:t>
      </w:r>
    </w:p>
    <w:p>
      <w:pPr>
        <w:pStyle w:val="CMT"/>
        <w:rPr/>
      </w:pPr>
      <w:r>
        <w:rPr/>
        <w:t>"Structure Importance Factor" is obtained from ASCE/SEI 7-10 Section 11.5.1.</w:t>
      </w:r>
    </w:p>
    <w:p>
      <w:pPr>
        <w:pStyle w:val="PR4"/>
        <w:numPr>
          <w:ilvl w:val="7"/>
          <w:numId w:val="1"/>
        </w:numPr>
        <w:rPr/>
      </w:pPr>
      <w:r>
        <w:rPr/>
        <w:t>Structure Importance Factor (I</w:t>
      </w:r>
      <w:r>
        <w:rPr>
          <w:vertAlign w:val="subscript"/>
        </w:rPr>
        <w:t>e</w:t>
      </w:r>
      <w:r>
        <w:rPr/>
        <w:t>): &lt;</w:t>
      </w:r>
      <w:r>
        <w:rPr>
          <w:b/>
        </w:rPr>
        <w:t>Insert value</w:t>
      </w:r>
      <w:r>
        <w:rPr/>
        <w:t>&gt;. Value applies to all components on Project.</w:t>
      </w:r>
    </w:p>
    <w:p>
      <w:pPr>
        <w:pStyle w:val="CMT"/>
        <w:rPr/>
      </w:pPr>
      <w:r>
        <w:rPr/>
        <w:t>"Deflection at Building Level x of Structure A" value is determined for each component in building in accordance with ASCE/SEI 7-10, Equation 12.8-15 and depends upon location of component in the building.</w:t>
      </w:r>
    </w:p>
    <w:p>
      <w:pPr>
        <w:pStyle w:val="PR4"/>
        <w:numPr>
          <w:ilvl w:val="7"/>
          <w:numId w:val="1"/>
        </w:numPr>
        <w:rPr/>
      </w:pPr>
      <w:r>
        <w:rPr/>
        <w:t>Deflection at Building Level x of Structure A (δ</w:t>
      </w:r>
      <w:r>
        <w:rPr>
          <w:vertAlign w:val="subscript"/>
        </w:rPr>
        <w:t>xA</w:t>
      </w:r>
      <w:r>
        <w:rPr/>
        <w:t>): See Drawing Schedule for each component.</w:t>
      </w:r>
    </w:p>
    <w:p>
      <w:pPr>
        <w:pStyle w:val="CMT"/>
        <w:rPr/>
      </w:pPr>
      <w:r>
        <w:rPr/>
        <w:t>"Deflection at Building Level y of Structure A" value is determined for each component in building in accordance with ASCE/SEI 7-10, Equation 12.8-15 and depends upon location of component in the building.</w:t>
      </w:r>
    </w:p>
    <w:p>
      <w:pPr>
        <w:pStyle w:val="PR4"/>
        <w:numPr>
          <w:ilvl w:val="7"/>
          <w:numId w:val="1"/>
        </w:numPr>
        <w:rPr/>
      </w:pPr>
      <w:r>
        <w:rPr/>
        <w:t>Deflection at Building Level y of Structure A (δ</w:t>
      </w:r>
      <w:r>
        <w:rPr>
          <w:vertAlign w:val="subscript"/>
        </w:rPr>
        <w:t>yA</w:t>
      </w:r>
      <w:r>
        <w:rPr/>
        <w:t>): See Drawing Schedule for each component.</w:t>
      </w:r>
    </w:p>
    <w:p>
      <w:pPr>
        <w:pStyle w:val="CMT"/>
        <w:rPr/>
      </w:pPr>
      <w:r>
        <w:rPr/>
        <w:t>"Deflection at Building Level y of Structure B" value is determined for each component in building in accordance with ASCE/SEI 7-10, Equation 12.8-15 and depends upon location of component in the building.</w:t>
      </w:r>
    </w:p>
    <w:p>
      <w:pPr>
        <w:pStyle w:val="PR4"/>
        <w:numPr>
          <w:ilvl w:val="7"/>
          <w:numId w:val="1"/>
        </w:numPr>
        <w:rPr/>
      </w:pPr>
      <w:r>
        <w:rPr/>
        <w:t>Deflection at Building Level y of Structure B (δ</w:t>
      </w:r>
      <w:r>
        <w:rPr>
          <w:vertAlign w:val="subscript"/>
        </w:rPr>
        <w:t>yB</w:t>
      </w:r>
      <w:r>
        <w:rPr/>
        <w:t>): See Drawing Schedule for each component.</w:t>
      </w:r>
    </w:p>
    <w:p>
      <w:pPr>
        <w:pStyle w:val="PR4"/>
        <w:numPr>
          <w:ilvl w:val="7"/>
          <w:numId w:val="1"/>
        </w:numPr>
        <w:rPr/>
      </w:pPr>
      <w:r>
        <w:rPr/>
        <w:t>Height of Level x to Which Upper Connection Point Is Attached (h</w:t>
      </w:r>
      <w:r>
        <w:rPr>
          <w:vertAlign w:val="subscript"/>
        </w:rPr>
        <w:t>x</w:t>
      </w:r>
      <w:r>
        <w:rPr/>
        <w:t>): Determine for each component by Delegated Design Contractor from Project Drawings and manufacturer's data.</w:t>
      </w:r>
    </w:p>
    <w:p>
      <w:pPr>
        <w:pStyle w:val="PR4"/>
        <w:numPr>
          <w:ilvl w:val="7"/>
          <w:numId w:val="1"/>
        </w:numPr>
        <w:rPr/>
      </w:pPr>
      <w:r>
        <w:rPr/>
        <w:t>Height of Level y to Which Upper Connection Point Is Attached (h</w:t>
      </w:r>
      <w:r>
        <w:rPr>
          <w:vertAlign w:val="subscript"/>
        </w:rPr>
        <w:t>y</w:t>
      </w:r>
      <w:r>
        <w:rPr/>
        <w:t>): Determine for each component by Delegated Design Contractor from Project Drawings and manufacturer's data.</w:t>
      </w:r>
    </w:p>
    <w:p>
      <w:pPr>
        <w:pStyle w:val="CMT"/>
        <w:rPr/>
      </w:pPr>
      <w:r>
        <w:rPr/>
        <w:t>"Allowable Story Drift for Structure A" value is determined in accordance with ASCE/SEI 7-10, Equation 12.12-1 and depends upon location of component in the building.</w:t>
      </w:r>
    </w:p>
    <w:p>
      <w:pPr>
        <w:pStyle w:val="PR4"/>
        <w:numPr>
          <w:ilvl w:val="7"/>
          <w:numId w:val="1"/>
        </w:numPr>
        <w:rPr/>
      </w:pPr>
      <w:r>
        <w:rPr/>
        <w:t>Allowable Story Drift for Structure A (</w:t>
      </w:r>
      <w:r>
        <w:rPr>
          <w:rFonts w:cs="Open Sans;Tahoma" w:ascii="Open Sans;Tahoma" w:hAnsi="Open Sans;Tahoma"/>
        </w:rPr>
        <w:t>Δ</w:t>
      </w:r>
      <w:r>
        <w:rPr>
          <w:rFonts w:cs="Open Sans;Tahoma" w:ascii="Open Sans;Tahoma" w:hAnsi="Open Sans;Tahoma"/>
          <w:vertAlign w:val="subscript"/>
        </w:rPr>
        <w:t>aA</w:t>
      </w:r>
      <w:r>
        <w:rPr/>
        <w:t>): See Drawing Schedule for each component.</w:t>
      </w:r>
    </w:p>
    <w:p>
      <w:pPr>
        <w:pStyle w:val="CMT"/>
        <w:rPr/>
      </w:pPr>
      <w:r>
        <w:rPr/>
        <w:t>"Allowable Story Drift for Structure B" value is determined in accordance with ASCE/SEI 7-10, Equation 12.12-1 and depends upon location of component in the building.</w:t>
      </w:r>
    </w:p>
    <w:p>
      <w:pPr>
        <w:pStyle w:val="PR4"/>
        <w:numPr>
          <w:ilvl w:val="7"/>
          <w:numId w:val="1"/>
        </w:numPr>
        <w:rPr/>
      </w:pPr>
      <w:r>
        <w:rPr/>
        <w:t>Allowable Story Drift for Structure B (Δ</w:t>
      </w:r>
      <w:r>
        <w:rPr>
          <w:vertAlign w:val="subscript"/>
        </w:rPr>
        <w:t>aB</w:t>
      </w:r>
      <w:r>
        <w:rPr/>
        <w:t>): See Drawing Schedule for each component.</w:t>
      </w:r>
    </w:p>
    <w:p>
      <w:pPr>
        <w:pStyle w:val="CMT"/>
        <w:rPr/>
      </w:pPr>
      <w:r>
        <w:rPr/>
        <w:t>"Story Height Used in the Definition of the Allowable Drift" value is determined in accordance with ASCE/SEI 7-10, Table 12.12-1 and depends upon location of component in the building.</w:t>
      </w:r>
    </w:p>
    <w:p>
      <w:pPr>
        <w:pStyle w:val="PR4"/>
        <w:numPr>
          <w:ilvl w:val="7"/>
          <w:numId w:val="1"/>
        </w:numPr>
        <w:rPr/>
      </w:pPr>
      <w:r>
        <w:rPr/>
        <w:t>Story Height Used in the Definition of the Allowable Drift Δ</w:t>
      </w:r>
      <w:r>
        <w:rPr>
          <w:vertAlign w:val="subscript"/>
        </w:rPr>
        <w:t>a</w:t>
      </w:r>
      <w:r>
        <w:rPr/>
        <w:t xml:space="preserve"> (h</w:t>
      </w:r>
      <w:r>
        <w:rPr>
          <w:vertAlign w:val="subscript"/>
        </w:rPr>
        <w:t>sx</w:t>
      </w:r>
      <w:r>
        <w:rPr/>
        <w:t>): See Drawing Schedule for each component.</w:t>
      </w:r>
    </w:p>
    <w:p>
      <w:pPr>
        <w:pStyle w:val="CMT"/>
        <w:rPr/>
      </w:pPr>
      <w:r>
        <w:rPr/>
        <w:t>Retain "Calculation Factors, ASCE/SEI 7-05, Ch. 13 - Seismic Design Requirements for Nonstructural Components" Subparagraph below if ASCE/SEI 7-05 applies to this Project.</w:t>
      </w:r>
    </w:p>
    <w:p>
      <w:pPr>
        <w:pStyle w:val="PR2"/>
        <w:numPr>
          <w:ilvl w:val="5"/>
          <w:numId w:val="1"/>
        </w:numPr>
        <w:tabs>
          <w:tab w:val="clear" w:pos="1440"/>
          <w:tab w:val="left" w:pos="1476" w:leader="none"/>
        </w:tabs>
        <w:ind w:hanging="547" w:left="1454" w:right="0"/>
        <w:rPr/>
      </w:pPr>
      <w:r>
        <w:rPr/>
        <w:t>Calculation Factors, ASCE/SEI 7-05, Ch. 13 - Seismic Design Requirements for Nonstructural Components: All section, paragraph, equation, and table numbers refer to ASCE/SEI 7-05 unless otherwise indicated.</w:t>
      </w:r>
    </w:p>
    <w:p>
      <w:pPr>
        <w:pStyle w:val="PR3"/>
        <w:numPr>
          <w:ilvl w:val="6"/>
          <w:numId w:val="1"/>
        </w:numPr>
        <w:spacing w:before="240" w:after="0"/>
        <w:ind w:left="1987" w:right="0"/>
        <w:rPr/>
      </w:pPr>
      <w:r>
        <w:rPr/>
        <w:t>Horizontal Seismic Design Force (F</w:t>
      </w:r>
      <w:r>
        <w:rPr>
          <w:vertAlign w:val="subscript"/>
        </w:rPr>
        <w:t>p</w:t>
      </w:r>
      <w:r>
        <w:rPr/>
        <w:t>): Calculated by Delegated Design Contractor by ASCE/SEI 7-05, Equation 13.3-1. Factors below must be obtained for this calculation:</w:t>
      </w:r>
    </w:p>
    <w:p>
      <w:pPr>
        <w:pStyle w:val="CMT"/>
        <w:spacing w:before="240" w:after="240"/>
        <w:rPr/>
      </w:pPr>
      <w:r>
        <w:rPr/>
        <w:t>"Spectral Acceleration" value applies to all components on Project. Value must be obtained from ASCE/SEI 7-05 Section 11.4.4.</w:t>
      </w:r>
    </w:p>
    <w:p>
      <w:pPr>
        <w:pStyle w:val="PR4"/>
        <w:numPr>
          <w:ilvl w:val="7"/>
          <w:numId w:val="1"/>
        </w:numPr>
        <w:rPr/>
      </w:pPr>
      <w:r>
        <w:rPr/>
        <w:t>Spectral Acceleration (S</w:t>
      </w:r>
      <w:r>
        <w:rPr>
          <w:vertAlign w:val="subscript"/>
        </w:rPr>
        <w:t>DS</w:t>
      </w:r>
      <w:r>
        <w:rPr/>
        <w:t>): &lt;</w:t>
      </w:r>
      <w:r>
        <w:rPr>
          <w:b/>
        </w:rPr>
        <w:t>Insert value</w:t>
      </w:r>
      <w:r>
        <w:rPr/>
        <w:t>&gt;. Value applies to all components on Project.</w:t>
      </w:r>
    </w:p>
    <w:p>
      <w:pPr>
        <w:pStyle w:val="CMT"/>
        <w:rPr/>
      </w:pPr>
      <w:r>
        <w:rPr/>
        <w:t>"Component Amplification Factor" is selected for each component as explained in ASCE/SEI 7-05, Table 13.6-1. List on Drawing Schedule for each component.</w:t>
      </w:r>
    </w:p>
    <w:p>
      <w:pPr>
        <w:pStyle w:val="PR4"/>
        <w:numPr>
          <w:ilvl w:val="7"/>
          <w:numId w:val="1"/>
        </w:numPr>
        <w:rPr/>
      </w:pPr>
      <w:r>
        <w:rPr/>
        <w:t>Component Amplification Factor (a</w:t>
      </w:r>
      <w:r>
        <w:rPr>
          <w:vertAlign w:val="subscript"/>
        </w:rPr>
        <w:t>p</w:t>
      </w:r>
      <w:r>
        <w:rPr/>
        <w:t>): See Drawing Schedule for each component.</w:t>
      </w:r>
    </w:p>
    <w:p>
      <w:pPr>
        <w:pStyle w:val="CMT"/>
        <w:rPr/>
      </w:pPr>
      <w:r>
        <w:rPr/>
        <w:t>"Component Importance Factor" is selected for each component as explained in ASCE/SEI 7-05 Section 13.1.3. List on Drawing Schedule for each component.</w:t>
      </w:r>
    </w:p>
    <w:p>
      <w:pPr>
        <w:pStyle w:val="PR4"/>
        <w:numPr>
          <w:ilvl w:val="7"/>
          <w:numId w:val="1"/>
        </w:numPr>
        <w:rPr/>
      </w:pPr>
      <w:r>
        <w:rPr/>
        <w:t>Component Importance Factor (I</w:t>
      </w:r>
      <w:r>
        <w:rPr>
          <w:vertAlign w:val="subscript"/>
        </w:rPr>
        <w:t>p</w:t>
      </w:r>
      <w:r>
        <w:rPr/>
        <w:t>): See Drawing Schedule for each component.</w:t>
      </w:r>
    </w:p>
    <w:p>
      <w:pPr>
        <w:pStyle w:val="PR4"/>
        <w:numPr>
          <w:ilvl w:val="7"/>
          <w:numId w:val="1"/>
        </w:numPr>
        <w:rPr/>
      </w:pPr>
      <w:r>
        <w:rPr/>
        <w:t>Component Operating Weight (W</w:t>
      </w:r>
      <w:r>
        <w:rPr>
          <w:vertAlign w:val="subscript"/>
        </w:rPr>
        <w:t>p</w:t>
      </w:r>
      <w:r>
        <w:rPr/>
        <w:t>): Obtain by Delegated Design Contractor for each component from component submittal.</w:t>
      </w:r>
    </w:p>
    <w:p>
      <w:pPr>
        <w:pStyle w:val="CMT"/>
        <w:rPr/>
      </w:pPr>
      <w:r>
        <w:rPr/>
        <w:t>"Component Response Modification Factor" is selected for each component from ASCE/SEI 7-05, Table 13.6-1. List on Drawing Schedule for each component.</w:t>
      </w:r>
    </w:p>
    <w:p>
      <w:pPr>
        <w:pStyle w:val="PR4"/>
        <w:numPr>
          <w:ilvl w:val="7"/>
          <w:numId w:val="1"/>
        </w:numPr>
        <w:rPr/>
      </w:pPr>
      <w:r>
        <w:rPr/>
        <w:t>Component Response Modification Factor (R</w:t>
      </w:r>
      <w:r>
        <w:rPr>
          <w:vertAlign w:val="subscript"/>
        </w:rPr>
        <w:t>p</w:t>
      </w:r>
      <w:r>
        <w:rPr/>
        <w:t>): See Drawing Schedule for each component.</w:t>
      </w:r>
    </w:p>
    <w:p>
      <w:pPr>
        <w:pStyle w:val="PR4"/>
        <w:numPr>
          <w:ilvl w:val="7"/>
          <w:numId w:val="1"/>
        </w:numPr>
        <w:rPr/>
      </w:pPr>
      <w:r>
        <w:rPr/>
        <w:t>Height in Structure of Point of Attachment of Component for Base (z): Determine by Delegated Design Contractor for each component from Project Drawings. For items at or below the base, "z" must be taken as zero.</w:t>
      </w:r>
    </w:p>
    <w:p>
      <w:pPr>
        <w:pStyle w:val="PR4"/>
        <w:numPr>
          <w:ilvl w:val="7"/>
          <w:numId w:val="1"/>
        </w:numPr>
        <w:rPr/>
      </w:pPr>
      <w:r>
        <w:rPr/>
        <w:t>Average Roof Height of Structure for Base (h): Determine by Delegated Design Contractor from Project Drawings.</w:t>
      </w:r>
    </w:p>
    <w:p>
      <w:pPr>
        <w:pStyle w:val="PR3"/>
        <w:numPr>
          <w:ilvl w:val="6"/>
          <w:numId w:val="1"/>
        </w:numPr>
        <w:spacing w:before="240" w:after="0"/>
        <w:ind w:left="1987" w:right="0"/>
        <w:rPr/>
      </w:pPr>
      <w:r>
        <w:rPr/>
        <w:t>Vertical Seismic Design Force: Calculated by Delegated Design Contractor using method explained in ASCE/SEI 7-05, Paragraph 13.3.1.</w:t>
      </w:r>
    </w:p>
    <w:p>
      <w:pPr>
        <w:pStyle w:val="PR3"/>
        <w:numPr>
          <w:ilvl w:val="6"/>
          <w:numId w:val="1"/>
        </w:numPr>
        <w:ind w:left="1987" w:right="0"/>
        <w:rPr/>
      </w:pPr>
      <w:r>
        <w:rPr/>
        <w:t>Seismic Relative Displacement (D</w:t>
      </w:r>
      <w:r>
        <w:rPr>
          <w:vertAlign w:val="subscript"/>
        </w:rPr>
        <w:t>p</w:t>
      </w:r>
      <w:r>
        <w:rPr/>
        <w:t>): Calculated by Delegated Design Contractor using methods explained in ASCI/SEI 7-05, Paragraph 13.3.2. Factors below must be obtained for this calculation:</w:t>
      </w:r>
    </w:p>
    <w:p>
      <w:pPr>
        <w:pStyle w:val="CMT"/>
        <w:spacing w:before="240" w:after="240"/>
        <w:rPr/>
      </w:pPr>
      <w:r>
        <w:rPr/>
        <w:t>"Deflection at Building Level x of Structure A" value is obtained for each component in building as defined in ASCESEI 7-05 Section 12.8.6 and depends upon location of component in the building. List on Drawing Schedule for each component.</w:t>
      </w:r>
    </w:p>
    <w:p>
      <w:pPr>
        <w:pStyle w:val="PR4"/>
        <w:numPr>
          <w:ilvl w:val="7"/>
          <w:numId w:val="1"/>
        </w:numPr>
        <w:rPr/>
      </w:pPr>
      <w:r>
        <w:rPr/>
        <w:t>Deflection at Building Level x of Structure A (δ</w:t>
      </w:r>
      <w:r>
        <w:rPr>
          <w:vertAlign w:val="subscript"/>
        </w:rPr>
        <w:t>xA</w:t>
      </w:r>
      <w:r>
        <w:rPr/>
        <w:t>): See Drawing Schedule for each component.</w:t>
      </w:r>
    </w:p>
    <w:p>
      <w:pPr>
        <w:pStyle w:val="CMT"/>
        <w:rPr/>
      </w:pPr>
      <w:r>
        <w:rPr/>
        <w:t>"Deflection at Building Level y of Structure A" value is obtained for each component in building as defined in ASCE/SEI 7-05 Section 12.8.6 and depends upon location of component in the building. List on Drawing Schedule for each component.</w:t>
      </w:r>
    </w:p>
    <w:p>
      <w:pPr>
        <w:pStyle w:val="PR4"/>
        <w:numPr>
          <w:ilvl w:val="7"/>
          <w:numId w:val="1"/>
        </w:numPr>
        <w:rPr/>
      </w:pPr>
      <w:r>
        <w:rPr/>
        <w:t>Deflection at Building Level y of Structure A (δ</w:t>
      </w:r>
      <w:r>
        <w:rPr>
          <w:vertAlign w:val="subscript"/>
        </w:rPr>
        <w:t>yA</w:t>
      </w:r>
      <w:r>
        <w:rPr/>
        <w:t>): See Drawing Schedule for each component.</w:t>
      </w:r>
    </w:p>
    <w:p>
      <w:pPr>
        <w:pStyle w:val="CMT"/>
        <w:rPr/>
      </w:pPr>
      <w:r>
        <w:rPr/>
        <w:t>"Deflection at Building Level y of Structure B" value is obtained for each component in building as defined in ASCE/SEI 7-05 Section 12.8.6 and depends upon location of component in the building. List on Drawing Schedule for each component.</w:t>
      </w:r>
    </w:p>
    <w:p>
      <w:pPr>
        <w:pStyle w:val="PR4"/>
        <w:numPr>
          <w:ilvl w:val="7"/>
          <w:numId w:val="1"/>
        </w:numPr>
        <w:rPr/>
      </w:pPr>
      <w:r>
        <w:rPr/>
        <w:t>Deflection at Building Level y of Structure B (δ</w:t>
      </w:r>
      <w:r>
        <w:rPr>
          <w:vertAlign w:val="subscript"/>
        </w:rPr>
        <w:t>yB</w:t>
      </w:r>
      <w:r>
        <w:rPr/>
        <w:t>): See Drawing Schedule for each component.</w:t>
      </w:r>
    </w:p>
    <w:p>
      <w:pPr>
        <w:pStyle w:val="PR4"/>
        <w:numPr>
          <w:ilvl w:val="7"/>
          <w:numId w:val="1"/>
        </w:numPr>
        <w:rPr/>
      </w:pPr>
      <w:r>
        <w:rPr/>
        <w:t>Height of Level x to Which Upper Connection Point Is Attached (h</w:t>
      </w:r>
      <w:r>
        <w:rPr>
          <w:vertAlign w:val="subscript"/>
        </w:rPr>
        <w:t>x</w:t>
      </w:r>
      <w:r>
        <w:rPr/>
        <w:t>): Determine for each component by Delegated Design Contractor from Project Drawings and manufacturer's data.</w:t>
      </w:r>
    </w:p>
    <w:p>
      <w:pPr>
        <w:pStyle w:val="PR4"/>
        <w:numPr>
          <w:ilvl w:val="7"/>
          <w:numId w:val="1"/>
        </w:numPr>
        <w:rPr/>
      </w:pPr>
      <w:r>
        <w:rPr/>
        <w:t>Height of Level y to Which Upper Connection Point Is Attached (h</w:t>
      </w:r>
      <w:r>
        <w:rPr>
          <w:vertAlign w:val="subscript"/>
        </w:rPr>
        <w:t>y</w:t>
      </w:r>
      <w:r>
        <w:rPr/>
        <w:t>): Determine for each component by Delegated Design Contractor from Project Drawings and manufacturer's data.</w:t>
      </w:r>
    </w:p>
    <w:p>
      <w:pPr>
        <w:pStyle w:val="CMT"/>
        <w:rPr/>
      </w:pPr>
      <w:r>
        <w:rPr/>
        <w:t>"Allowable Story Drift for Structure A" value is obtained for each component in building in accordance with ASCE/SEI 7-05, Equation 12.12-1 and depends upon location of component in the building. List on Drawing Schedule for each component.</w:t>
      </w:r>
    </w:p>
    <w:p>
      <w:pPr>
        <w:pStyle w:val="PR4"/>
        <w:numPr>
          <w:ilvl w:val="7"/>
          <w:numId w:val="1"/>
        </w:numPr>
        <w:rPr/>
      </w:pPr>
      <w:r>
        <w:rPr/>
        <w:t>Allowable Story Drift for Structure A (Δ</w:t>
      </w:r>
      <w:r>
        <w:rPr>
          <w:vertAlign w:val="subscript"/>
        </w:rPr>
        <w:t>aA</w:t>
      </w:r>
      <w:r>
        <w:rPr/>
        <w:t>): See Drawing Schedule for each component.</w:t>
      </w:r>
    </w:p>
    <w:p>
      <w:pPr>
        <w:pStyle w:val="CMT"/>
        <w:rPr/>
      </w:pPr>
      <w:r>
        <w:rPr/>
        <w:t>"Allowable story drift for Structure B" value is obtained for each component in building in accordance with ASCE/SEI 7-05, Equation 12.12-1 and depends upon location of component in the building. List on Drawing Schedule for each component.</w:t>
      </w:r>
    </w:p>
    <w:p>
      <w:pPr>
        <w:pStyle w:val="PR4"/>
        <w:numPr>
          <w:ilvl w:val="7"/>
          <w:numId w:val="1"/>
        </w:numPr>
        <w:rPr/>
      </w:pPr>
      <w:r>
        <w:rPr/>
        <w:t>Allowable Story Drift for Structure B (Δ</w:t>
      </w:r>
      <w:r>
        <w:rPr>
          <w:vertAlign w:val="subscript"/>
        </w:rPr>
        <w:t>aB</w:t>
      </w:r>
      <w:r>
        <w:rPr/>
        <w:t>): See Drawing Schedule for each component.</w:t>
      </w:r>
    </w:p>
    <w:p>
      <w:pPr>
        <w:pStyle w:val="CMT"/>
        <w:rPr/>
      </w:pPr>
      <w:r>
        <w:rPr/>
        <w:t>"Story Height Used in the Definition of the Allowable Drift" value is obtained for each component in building in accordance with ASCE/SEI 7-05, Table 12.12-1 and depends upon location of component in the building. List on Drawing Schedule for each component.</w:t>
      </w:r>
    </w:p>
    <w:p>
      <w:pPr>
        <w:pStyle w:val="PR4"/>
        <w:numPr>
          <w:ilvl w:val="7"/>
          <w:numId w:val="1"/>
        </w:numPr>
        <w:rPr/>
      </w:pPr>
      <w:r>
        <w:rPr/>
        <w:t>Story Height Used in the Definition of the Allowable Drift Δ</w:t>
      </w:r>
      <w:r>
        <w:rPr>
          <w:vertAlign w:val="subscript"/>
        </w:rPr>
        <w:t>a</w:t>
      </w:r>
      <w:r>
        <w:rPr/>
        <w:t xml:space="preserve"> (h</w:t>
      </w:r>
      <w:r>
        <w:rPr>
          <w:vertAlign w:val="subscript"/>
        </w:rPr>
        <w:t>sx</w:t>
      </w:r>
      <w:r>
        <w:rPr/>
        <w:t>): See Drawing Schedule for each component.</w:t>
      </w:r>
    </w:p>
    <w:p>
      <w:pPr>
        <w:pStyle w:val="CMT"/>
        <w:rPr/>
      </w:pPr>
      <w:r>
        <w:rPr/>
        <w:t>Retain "Wind Hazard Design Loads" Paragraph below if wind-load reinforcement design services have been delegated to Contractor.</w:t>
      </w:r>
    </w:p>
    <w:p>
      <w:pPr>
        <w:pStyle w:val="PR1"/>
        <w:numPr>
          <w:ilvl w:val="4"/>
          <w:numId w:val="1"/>
        </w:numPr>
        <w:rPr/>
      </w:pPr>
      <w:r>
        <w:rPr/>
        <w:t>Wind Hazard Design Loads:</w:t>
      </w:r>
    </w:p>
    <w:p>
      <w:pPr>
        <w:pStyle w:val="CMT"/>
        <w:rPr/>
      </w:pPr>
      <w:r>
        <w:rPr/>
        <w:t>ASCE/SEI 7 is generally applicable in most locations, but it is Architect or structural engineer's responsibility to determine the applicable building codes and editions thereof, and applicable wind-load design standards that apply to this Project. Data and information required for wind-load calculations in ASCE/SEI 7 are listed below. ASCE/SEI 7-05, ASCE/SEI 7-10, and ASCE/SEI 7-16 differ somewhat; material from all three editions has been included below and has been noted. Architect or structural engineer must delete all non-applicable editions throughout the Section.</w:t>
      </w:r>
    </w:p>
    <w:p>
      <w:pPr>
        <w:pStyle w:val="CMT"/>
        <w:rPr/>
      </w:pPr>
      <w:r>
        <w:rPr/>
        <w:t>If a calculation method other than that prescribed in any edition of ASCE/SEI 7 must be used, Architect or structural engineer must revise the Section Text to provide alternative appropriate calculation parameters and instruction for delegated designer in lieu of those given below.</w:t>
      </w:r>
    </w:p>
    <w:p>
      <w:pPr>
        <w:pStyle w:val="PR2"/>
        <w:numPr>
          <w:ilvl w:val="5"/>
          <w:numId w:val="1"/>
        </w:numPr>
        <w:tabs>
          <w:tab w:val="clear" w:pos="1440"/>
          <w:tab w:val="left" w:pos="1476" w:leader="none"/>
        </w:tabs>
        <w:spacing w:before="240" w:after="0"/>
        <w:ind w:hanging="547" w:left="1454" w:right="0"/>
        <w:rPr/>
      </w:pPr>
      <w:r>
        <w:rPr/>
        <w:t>Perform calculations to obtain force information necessary to properly select wind-load restraint devices, fasteners, and anchorage. Perform calculations using methods acceptable to applicable code authorities and as presented in [</w:t>
      </w:r>
      <w:r>
        <w:rPr>
          <w:b/>
        </w:rPr>
        <w:t>ASCE/SEI 7-05</w:t>
      </w:r>
      <w:r>
        <w:rPr/>
        <w:t>] [</w:t>
      </w:r>
      <w:r>
        <w:rPr>
          <w:b/>
        </w:rPr>
        <w:t>ASCE/SEI 7-10</w:t>
      </w:r>
      <w:r>
        <w:rPr/>
        <w:t>] [</w:t>
      </w:r>
      <w:r>
        <w:rPr>
          <w:b/>
        </w:rPr>
        <w:t>ASCE/SEI 7-16</w:t>
      </w:r>
      <w:r>
        <w:rPr/>
        <w:t>] &lt;</w:t>
      </w:r>
      <w:r>
        <w:rPr>
          <w:b/>
        </w:rPr>
        <w:t>Insert ASCE/SEI 7 edition or other wind-load calculation method required by authorities having jurisdiction</w:t>
      </w:r>
      <w:r>
        <w:rPr/>
        <w:t>&gt;. Where "ASCE/SEI 7" is used throughout this Section, it must be understood that the edition referred to in this subparagraph is intended as referenced throughout the Section Text unless otherwise indicated.</w:t>
      </w:r>
    </w:p>
    <w:p>
      <w:pPr>
        <w:pStyle w:val="PR3"/>
        <w:numPr>
          <w:ilvl w:val="6"/>
          <w:numId w:val="1"/>
        </w:numPr>
        <w:spacing w:before="240" w:after="0"/>
        <w:rPr/>
      </w:pPr>
      <w:bookmarkStart w:id="0" w:name="_Hlk1343571"/>
      <w:bookmarkStart w:id="1" w:name="_Hlk1332694"/>
      <w:bookmarkEnd w:id="0"/>
      <w:bookmarkEnd w:id="1"/>
      <w:r>
        <w:rPr/>
        <w:t>Data indicated below that are specific to individual pieces of equipment must be obtained by Contractor and must be included in individual component submittal packages.</w:t>
      </w:r>
    </w:p>
    <w:p>
      <w:pPr>
        <w:pStyle w:val="PR3"/>
        <w:numPr>
          <w:ilvl w:val="6"/>
          <w:numId w:val="1"/>
        </w:numPr>
        <w:ind w:left="1987" w:right="0"/>
        <w:rPr/>
      </w:pPr>
      <w:bookmarkStart w:id="2" w:name="_Hlk1332694"/>
      <w:bookmarkEnd w:id="2"/>
      <w:r>
        <w:rPr/>
        <w:t>Coordinate design wind-load calculations with seismic-load calculations for equipment requiring both seismic- and wind-load reinforcement. Comply with requirements in other Sections in addition to those in this Section.</w:t>
      </w:r>
    </w:p>
    <w:p>
      <w:pPr>
        <w:pStyle w:val="CMT"/>
        <w:rPr/>
      </w:pPr>
      <w:bookmarkStart w:id="3" w:name="_Hlk1343571"/>
      <w:bookmarkEnd w:id="3"/>
      <w:r>
        <w:rPr/>
        <w:t>Data values identified below as applying to all components on Project are to be inserted in these Specifications where indicated in the following list. Data values that are specific to an individual generic component and are indicated to be scheduled should be included in the System Seismic- and Wind-Load Controls Schedule or the individual component schedules on Drawings. Data values that are specific to an individual piece of equipment as provided by Contractor and are indicated to be obtained by Contractor must be included in individual component submittal packages.</w:t>
      </w:r>
    </w:p>
    <w:p>
      <w:pPr>
        <w:pStyle w:val="CMT"/>
        <w:spacing w:before="240" w:after="240"/>
        <w:rPr/>
      </w:pPr>
      <w:bookmarkStart w:id="4" w:name="_Hlk1329356"/>
      <w:bookmarkEnd w:id="4"/>
      <w:r>
        <w:rPr/>
        <w:t>Retain one of first two design wind pressure subparagraphs below if ASCE/SEI 7-16 applies to this Project.</w:t>
      </w:r>
    </w:p>
    <w:p>
      <w:pPr>
        <w:pStyle w:val="PR2"/>
        <w:numPr>
          <w:ilvl w:val="5"/>
          <w:numId w:val="1"/>
        </w:numPr>
        <w:tabs>
          <w:tab w:val="clear" w:pos="1440"/>
          <w:tab w:val="left" w:pos="1476" w:leader="none"/>
        </w:tabs>
        <w:ind w:hanging="547" w:left="1454" w:right="0"/>
        <w:rPr/>
      </w:pPr>
      <w:r>
        <w:rPr/>
        <w:t>Design wind pressure "p" for external sidewall-mounted equipment must be calculated by Delegated Design Contractor using methods in ASCE/SEI 7-16, Ch. 30. Perform calculations according to one of the following, as appropriate:</w:t>
      </w:r>
    </w:p>
    <w:p>
      <w:pPr>
        <w:pStyle w:val="PR3"/>
        <w:numPr>
          <w:ilvl w:val="6"/>
          <w:numId w:val="1"/>
        </w:numPr>
        <w:spacing w:before="240" w:after="0"/>
        <w:ind w:left="1987" w:right="0"/>
        <w:rPr/>
      </w:pPr>
      <w:r>
        <w:rPr/>
        <w:t>PART 1: Low-Rise Buildings.</w:t>
      </w:r>
    </w:p>
    <w:p>
      <w:pPr>
        <w:pStyle w:val="PR3"/>
        <w:numPr>
          <w:ilvl w:val="6"/>
          <w:numId w:val="1"/>
        </w:numPr>
        <w:ind w:left="1980" w:right="0"/>
        <w:outlineLvl w:val="9"/>
        <w:rPr/>
      </w:pPr>
      <w:r>
        <w:rPr/>
        <w:t>PART 2: Low-Rise Buildings (Simplified).</w:t>
      </w:r>
    </w:p>
    <w:p>
      <w:pPr>
        <w:pStyle w:val="PR3"/>
        <w:numPr>
          <w:ilvl w:val="6"/>
          <w:numId w:val="1"/>
        </w:numPr>
        <w:ind w:left="1980" w:right="0"/>
        <w:outlineLvl w:val="9"/>
        <w:rPr/>
      </w:pPr>
      <w:r>
        <w:rPr/>
        <w:t xml:space="preserve">PART 3: Buildings with "h" less than </w:t>
      </w:r>
      <w:r>
        <w:rPr>
          <w:rStyle w:val="IP"/>
        </w:rPr>
        <w:t>60 ft.</w:t>
      </w:r>
      <w:r>
        <w:rPr>
          <w:rStyle w:val="SI"/>
        </w:rPr>
        <w:t xml:space="preserve"> (18.3 m).</w:t>
      </w:r>
    </w:p>
    <w:p>
      <w:pPr>
        <w:pStyle w:val="PR3"/>
        <w:numPr>
          <w:ilvl w:val="6"/>
          <w:numId w:val="1"/>
        </w:numPr>
        <w:ind w:left="1980" w:right="0"/>
        <w:outlineLvl w:val="9"/>
        <w:rPr/>
      </w:pPr>
      <w:r>
        <w:rPr/>
        <w:t xml:space="preserve">PART 4: Buildings with "h" greater than </w:t>
      </w:r>
      <w:r>
        <w:rPr>
          <w:rStyle w:val="IP"/>
        </w:rPr>
        <w:t>60 ft.</w:t>
      </w:r>
      <w:r>
        <w:rPr>
          <w:rStyle w:val="SI"/>
        </w:rPr>
        <w:t xml:space="preserve"> (18.3 m)</w:t>
      </w:r>
      <w:r>
        <w:rPr/>
        <w:t xml:space="preserve"> and less than </w:t>
      </w:r>
      <w:r>
        <w:rPr>
          <w:rStyle w:val="IP"/>
        </w:rPr>
        <w:t>160 ft.</w:t>
      </w:r>
      <w:r>
        <w:rPr>
          <w:rStyle w:val="SI"/>
        </w:rPr>
        <w:t xml:space="preserve"> (48.8 m)</w:t>
      </w:r>
      <w:r>
        <w:rPr/>
        <w:t>.</w:t>
      </w:r>
    </w:p>
    <w:p>
      <w:pPr>
        <w:pStyle w:val="PR3"/>
        <w:numPr>
          <w:ilvl w:val="6"/>
          <w:numId w:val="1"/>
        </w:numPr>
        <w:ind w:left="1980" w:right="0"/>
        <w:outlineLvl w:val="9"/>
        <w:rPr/>
      </w:pPr>
      <w:r>
        <w:rPr/>
        <w:t>PART 5: Open Buildings.</w:t>
      </w:r>
    </w:p>
    <w:p>
      <w:pPr>
        <w:pStyle w:val="PR2"/>
        <w:numPr>
          <w:ilvl w:val="5"/>
          <w:numId w:val="1"/>
        </w:numPr>
        <w:tabs>
          <w:tab w:val="clear" w:pos="1440"/>
          <w:tab w:val="left" w:pos="1476" w:leader="none"/>
        </w:tabs>
        <w:spacing w:before="240" w:after="0"/>
        <w:ind w:hanging="547" w:left="1454" w:right="0"/>
        <w:rPr/>
      </w:pPr>
      <w:r>
        <w:rPr/>
        <w:t>Design wind pressure "p" for rooftop equipment must be calculated by Delegated Design Contractor using methods in ASCE/SEI 7-16, Ch. 30, PART 6: Building Appurtenances and Rooftop Structures and Equipment.</w:t>
      </w:r>
    </w:p>
    <w:p>
      <w:pPr>
        <w:pStyle w:val="CMT"/>
        <w:rPr/>
      </w:pPr>
      <w:r>
        <w:rPr/>
        <w:t>"Risk Category" value is determined from ASCE/SEI 7-16, Table 1.5-1.</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from Project Drawings.</w:t>
      </w:r>
    </w:p>
    <w:p>
      <w:pPr>
        <w:pStyle w:val="PR3"/>
        <w:numPr>
          <w:ilvl w:val="6"/>
          <w:numId w:val="1"/>
        </w:numPr>
        <w:rPr/>
      </w:pPr>
      <w:r>
        <w:rPr/>
        <w:t>Mean Roof Height (h): &lt;</w:t>
      </w:r>
      <w:r>
        <w:rPr>
          <w:b/>
        </w:rPr>
        <w:t>Insert value</w:t>
      </w:r>
      <w:r>
        <w:rPr/>
        <w:t>&gt;.</w:t>
      </w:r>
    </w:p>
    <w:p>
      <w:pPr>
        <w:pStyle w:val="CMT"/>
        <w:rPr/>
      </w:pPr>
      <w:r>
        <w:rPr/>
        <w:t>"Basic Wind Speed" value is obtained from Wind Hazard map in ASCE/SEI 7-16 Section 26.5 or other source approved by authorities having jurisdiction.</w:t>
      </w:r>
    </w:p>
    <w:p>
      <w:pPr>
        <w:pStyle w:val="PR3"/>
        <w:numPr>
          <w:ilvl w:val="6"/>
          <w:numId w:val="1"/>
        </w:numPr>
        <w:rPr/>
      </w:pPr>
      <w:r>
        <w:rPr>
          <w:bCs/>
        </w:rPr>
        <w:t>Basic Wind Speed (V)</w:t>
      </w:r>
      <w:r>
        <w:rPr/>
        <w:t>: &lt;</w:t>
      </w:r>
      <w:r>
        <w:rPr>
          <w:b/>
        </w:rPr>
        <w:t>Insert value</w:t>
      </w:r>
      <w:r>
        <w:rPr/>
        <w:t>&gt;.</w:t>
      </w:r>
    </w:p>
    <w:p>
      <w:pPr>
        <w:pStyle w:val="CMT"/>
        <w:rPr/>
      </w:pPr>
      <w:r>
        <w:rPr/>
        <w:t xml:space="preserve">"Wind Directionality Factor" value is obtained from ASCE/SEI 7-16 </w:t>
      </w:r>
      <w:r>
        <w:rPr>
          <w:bCs/>
        </w:rPr>
        <w:t xml:space="preserve">Section 26.6 and Table 26.6-1 </w:t>
      </w:r>
      <w:r>
        <w:rPr/>
        <w:t>or other source approved by authorities having jurisdiction.</w:t>
      </w:r>
    </w:p>
    <w:p>
      <w:pPr>
        <w:pStyle w:val="PR3"/>
        <w:numPr>
          <w:ilvl w:val="6"/>
          <w:numId w:val="1"/>
        </w:numPr>
        <w:rPr/>
      </w:pPr>
      <w:r>
        <w:rPr/>
        <w:t>Wind Directionality Factor (K</w:t>
      </w:r>
      <w:r>
        <w:rPr>
          <w:vertAlign w:val="subscript"/>
        </w:rPr>
        <w:t>d</w:t>
      </w:r>
      <w:r>
        <w:rPr/>
        <w:t>): &lt;</w:t>
      </w:r>
      <w:r>
        <w:rPr>
          <w:b/>
        </w:rPr>
        <w:t>Insert factor</w:t>
      </w:r>
      <w:r>
        <w:rPr/>
        <w:t>&gt;.</w:t>
      </w:r>
    </w:p>
    <w:p>
      <w:pPr>
        <w:pStyle w:val="CMT"/>
        <w:rPr/>
      </w:pPr>
      <w:r>
        <w:rPr/>
        <w:t xml:space="preserve">"Exposure Category" value is obtained from ASCE/SEI 7-16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from ASCE/SEI 7-16 Section 26.8 and Table 26.8-1 or other source approved by authorities having jurisdiction.</w:t>
      </w:r>
    </w:p>
    <w:p>
      <w:pPr>
        <w:pStyle w:val="PR3"/>
        <w:numPr>
          <w:ilvl w:val="6"/>
          <w:numId w:val="1"/>
        </w:numPr>
        <w:rPr/>
      </w:pPr>
      <w:r>
        <w:rPr/>
        <w:t>Topographic Factor (K</w:t>
      </w:r>
      <w:r>
        <w:rPr>
          <w:vertAlign w:val="subscript"/>
        </w:rPr>
        <w:t>zt</w:t>
      </w:r>
      <w:r>
        <w:rPr/>
        <w:t>): &lt;</w:t>
      </w:r>
      <w:r>
        <w:rPr>
          <w:b/>
        </w:rPr>
        <w:t>Insert factor</w:t>
      </w:r>
      <w:r>
        <w:rPr/>
        <w:t>&gt;.</w:t>
      </w:r>
    </w:p>
    <w:p>
      <w:pPr>
        <w:pStyle w:val="CMT"/>
        <w:rPr/>
      </w:pPr>
      <w:r>
        <w:rPr/>
        <w:t>"Ground Elevation Factor" value is obtained from ASCE/SEI 7-16 Section 26.8 and Table 26.8-1 or other source approved by authorities having jurisdiction.</w:t>
      </w:r>
    </w:p>
    <w:p>
      <w:pPr>
        <w:pStyle w:val="PR3"/>
        <w:numPr>
          <w:ilvl w:val="6"/>
          <w:numId w:val="1"/>
        </w:numPr>
        <w:rPr/>
      </w:pPr>
      <w:r>
        <w:rPr/>
        <w:t>Ground Elevation Factor (K</w:t>
      </w:r>
      <w:r>
        <w:rPr>
          <w:vertAlign w:val="subscript"/>
        </w:rPr>
        <w:t>e</w:t>
      </w:r>
      <w:r>
        <w:rPr/>
        <w:t>): &lt;</w:t>
      </w:r>
      <w:r>
        <w:rPr>
          <w:b/>
        </w:rPr>
        <w:t>Insert factor</w:t>
      </w:r>
      <w:r>
        <w:rPr/>
        <w:t>&gt;.</w:t>
      </w:r>
    </w:p>
    <w:p>
      <w:pPr>
        <w:pStyle w:val="CMT"/>
        <w:rPr/>
      </w:pPr>
      <w:r>
        <w:rPr/>
        <w:t>"Velocity Pressure Exposure Coefficient" value at Height z and Height h is obtained from ASCE/SEI 7-16 Section 26.10.1 or other source approved by authorities having jurisdiction.</w:t>
      </w:r>
    </w:p>
    <w:p>
      <w:pPr>
        <w:pStyle w:val="PR3"/>
        <w:numPr>
          <w:ilvl w:val="6"/>
          <w:numId w:val="1"/>
        </w:numPr>
        <w:rPr/>
      </w:pPr>
      <w:r>
        <w:rPr/>
        <w:t>Velocity Pressure Exposure Coefficient (Evaluated at Height z) (K</w:t>
      </w:r>
      <w:r>
        <w:rPr>
          <w:vertAlign w:val="subscript"/>
        </w:rPr>
        <w:t>z</w:t>
      </w:r>
      <w:r>
        <w:rPr/>
        <w:t>): &lt;</w:t>
      </w:r>
      <w:r>
        <w:rPr>
          <w:b/>
        </w:rPr>
        <w:t>Insert coefficient</w:t>
      </w:r>
      <w:r>
        <w:rPr/>
        <w:t>&gt;.</w:t>
      </w:r>
    </w:p>
    <w:p>
      <w:pPr>
        <w:pStyle w:val="PR3"/>
        <w:numPr>
          <w:ilvl w:val="6"/>
          <w:numId w:val="1"/>
        </w:numPr>
        <w:rPr/>
      </w:pPr>
      <w:r>
        <w:rPr/>
        <w:t>Velocity Pressure Exposure Coefficient (Evaluated at Height h) (K</w:t>
      </w:r>
      <w:r>
        <w:rPr>
          <w:vertAlign w:val="subscript"/>
        </w:rPr>
        <w:t>h</w:t>
      </w:r>
      <w:r>
        <w:rPr/>
        <w:t>): &lt;</w:t>
      </w:r>
      <w:r>
        <w:rPr>
          <w:b/>
        </w:rPr>
        <w:t>Insert coefficient</w:t>
      </w:r>
      <w:r>
        <w:rPr/>
        <w:t>&gt;.</w:t>
      </w:r>
    </w:p>
    <w:p>
      <w:pPr>
        <w:pStyle w:val="PR3"/>
        <w:numPr>
          <w:ilvl w:val="6"/>
          <w:numId w:val="1"/>
        </w:numPr>
        <w:rPr/>
      </w:pPr>
      <w:r>
        <w:rPr>
          <w:bCs/>
        </w:rPr>
        <w:t>Velocity Pressure at Height </w:t>
      </w:r>
      <w:r>
        <w:rPr/>
        <w:t>z</w:t>
      </w:r>
      <w:r>
        <w:rPr>
          <w:bCs/>
        </w:rPr>
        <w:t xml:space="preserve"> (q</w:t>
      </w:r>
      <w:r>
        <w:rPr>
          <w:bCs/>
          <w:vertAlign w:val="subscript"/>
        </w:rPr>
        <w:t>z</w:t>
      </w:r>
      <w:r>
        <w:rPr>
          <w:bCs/>
        </w:rPr>
        <w:t xml:space="preserve">): </w:t>
      </w:r>
      <w:r>
        <w:rPr/>
        <w:t>Value is calculated by delegated wind-load design Contractor using methods detailed in ASCE/SEI 7-16 Section 26.10.1 or other source approved by authorities having jurisdiction.</w:t>
      </w:r>
    </w:p>
    <w:p>
      <w:pPr>
        <w:pStyle w:val="PR3"/>
        <w:numPr>
          <w:ilvl w:val="6"/>
          <w:numId w:val="1"/>
        </w:numPr>
        <w:rPr/>
      </w:pPr>
      <w:r>
        <w:rPr>
          <w:bCs/>
        </w:rPr>
        <w:t>Velocity Pressure at Height h (q</w:t>
      </w:r>
      <w:r>
        <w:rPr>
          <w:bCs/>
          <w:vertAlign w:val="subscript"/>
        </w:rPr>
        <w:t>h</w:t>
      </w:r>
      <w:r>
        <w:rPr>
          <w:bCs/>
        </w:rPr>
        <w:t xml:space="preserve">): </w:t>
      </w:r>
      <w:r>
        <w:rPr/>
        <w:t>Value is calculated by delegated wind-load design Contractor using methods detailed in ASCE/SEI 7-16 Section 26.10.1 or other source approved by authorities having jurisdiction.</w:t>
      </w:r>
    </w:p>
    <w:p>
      <w:pPr>
        <w:pStyle w:val="CMT"/>
        <w:rPr/>
      </w:pPr>
      <w:r>
        <w:rPr/>
        <w:t>"Gust-Effect Factor" is obtained from ASCE/SEI 7-16 Section 26.11 or other source approved by authorities having jurisdiction.</w:t>
      </w:r>
    </w:p>
    <w:p>
      <w:pPr>
        <w:pStyle w:val="PR4"/>
        <w:numPr>
          <w:ilvl w:val="7"/>
          <w:numId w:val="1"/>
        </w:numPr>
        <w:rPr/>
      </w:pPr>
      <w:r>
        <w:rPr/>
        <w:t>Gust-Effect Factor (G): [</w:t>
      </w:r>
      <w:r>
        <w:rPr>
          <w:b/>
        </w:rPr>
        <w:t>0.85</w:t>
      </w:r>
      <w:r>
        <w:rPr/>
        <w:t>] &lt;</w:t>
      </w:r>
      <w:r>
        <w:rPr>
          <w:b/>
        </w:rPr>
        <w:t>Insert factor</w:t>
      </w:r>
      <w:r>
        <w:rPr/>
        <w:t>&gt;.</w:t>
      </w:r>
    </w:p>
    <w:p>
      <w:pPr>
        <w:pStyle w:val="CMT"/>
        <w:rPr/>
      </w:pPr>
      <w:r>
        <w:rPr/>
        <w:t>"Enclosure Classification" is obtained from ASCE/SEI 7-16 Section 26.12 or other source approved by authorities having jurisdiction.</w:t>
      </w:r>
    </w:p>
    <w:p>
      <w:pPr>
        <w:pStyle w:val="PR4"/>
        <w:numPr>
          <w:ilvl w:val="7"/>
          <w:numId w:val="1"/>
        </w:numPr>
        <w:rPr/>
      </w:pPr>
      <w:r>
        <w:rPr/>
        <w:t>Enclosure Classification: &lt;</w:t>
      </w:r>
      <w:r>
        <w:rPr>
          <w:b/>
        </w:rPr>
        <w:t>Insert classification</w:t>
      </w:r>
      <w:r>
        <w:rPr/>
        <w:t>&gt;.</w:t>
      </w:r>
    </w:p>
    <w:p>
      <w:pPr>
        <w:pStyle w:val="CMT"/>
        <w:rPr/>
      </w:pPr>
      <w:r>
        <w:rPr/>
        <w:t>"Internal Pressure Coefficient" is obtained from ASCE/SEI 7-16, Table 26.13-1 or other source approved by authorities having jurisdiction.</w:t>
      </w:r>
    </w:p>
    <w:p>
      <w:pPr>
        <w:pStyle w:val="PR4"/>
        <w:numPr>
          <w:ilvl w:val="7"/>
          <w:numId w:val="1"/>
        </w:numPr>
        <w:rPr/>
      </w:pPr>
      <w:r>
        <w:rPr/>
        <w:t>Internal Pressure Coefficient (GC</w:t>
      </w:r>
      <w:r>
        <w:rPr>
          <w:vertAlign w:val="subscript"/>
        </w:rPr>
        <w:t>pi</w:t>
      </w:r>
      <w:r>
        <w:rPr/>
        <w:t>): &lt;</w:t>
      </w:r>
      <w:r>
        <w:rPr>
          <w:b/>
        </w:rPr>
        <w:t>Insert coefficient</w:t>
      </w:r>
      <w:r>
        <w:rPr/>
        <w:t>&gt;.</w:t>
      </w:r>
    </w:p>
    <w:p>
      <w:pPr>
        <w:pStyle w:val="CMT"/>
        <w:rPr/>
      </w:pPr>
      <w:r>
        <w:rPr/>
        <w:t>Retain one of two design wind pressure subparagraphs below if ASCE/SEI 7-10 applies to this Project.</w:t>
      </w:r>
    </w:p>
    <w:p>
      <w:pPr>
        <w:pStyle w:val="PR2"/>
        <w:numPr>
          <w:ilvl w:val="5"/>
          <w:numId w:val="1"/>
        </w:numPr>
        <w:tabs>
          <w:tab w:val="clear" w:pos="1440"/>
          <w:tab w:val="left" w:pos="1476" w:leader="none"/>
        </w:tabs>
        <w:ind w:hanging="547" w:left="1454" w:right="0"/>
        <w:rPr/>
      </w:pPr>
      <w:r>
        <w:rPr/>
        <w:t>Design wind pressure "p" for external sidewall-mounted equipment must be calculated by Delegated Design Contractor using methods in ASCE/SEI 7-10, Ch. 30. Perform calculations according to one of the following, as appropriate:</w:t>
      </w:r>
    </w:p>
    <w:p>
      <w:pPr>
        <w:pStyle w:val="PR3"/>
        <w:numPr>
          <w:ilvl w:val="6"/>
          <w:numId w:val="1"/>
        </w:numPr>
        <w:spacing w:before="240" w:after="0"/>
        <w:rPr/>
      </w:pPr>
      <w:r>
        <w:rPr/>
        <w:t>PART 1: Low-Rise Buildings.</w:t>
      </w:r>
    </w:p>
    <w:p>
      <w:pPr>
        <w:pStyle w:val="PR3"/>
        <w:numPr>
          <w:ilvl w:val="6"/>
          <w:numId w:val="1"/>
        </w:numPr>
        <w:outlineLvl w:val="9"/>
        <w:rPr/>
      </w:pPr>
      <w:r>
        <w:rPr/>
        <w:t>PART 2: Low-Rise Buildings (Simplified).</w:t>
      </w:r>
    </w:p>
    <w:p>
      <w:pPr>
        <w:pStyle w:val="PR3"/>
        <w:numPr>
          <w:ilvl w:val="6"/>
          <w:numId w:val="1"/>
        </w:numPr>
        <w:outlineLvl w:val="9"/>
        <w:rPr/>
      </w:pPr>
      <w:r>
        <w:rPr/>
        <w:t xml:space="preserve">PART 3: Buildings with "h" greater than </w:t>
      </w:r>
      <w:r>
        <w:rPr>
          <w:rStyle w:val="IP"/>
        </w:rPr>
        <w:t>60 ft.</w:t>
      </w:r>
      <w:r>
        <w:rPr>
          <w:rStyle w:val="SI"/>
        </w:rPr>
        <w:t xml:space="preserve"> (18.3 m)</w:t>
      </w:r>
      <w:r>
        <w:rPr/>
        <w:t>.</w:t>
      </w:r>
    </w:p>
    <w:p>
      <w:pPr>
        <w:pStyle w:val="PR3"/>
        <w:numPr>
          <w:ilvl w:val="6"/>
          <w:numId w:val="1"/>
        </w:numPr>
        <w:outlineLvl w:val="9"/>
        <w:rPr/>
      </w:pPr>
      <w:r>
        <w:rPr/>
        <w:t xml:space="preserve">PART 4: Buildings with "h" less than </w:t>
      </w:r>
      <w:r>
        <w:rPr>
          <w:rStyle w:val="IP"/>
        </w:rPr>
        <w:t>160 ft.</w:t>
      </w:r>
      <w:r>
        <w:rPr>
          <w:rStyle w:val="SI"/>
        </w:rPr>
        <w:t xml:space="preserve"> (48.8 m)</w:t>
      </w:r>
      <w:r>
        <w:rPr/>
        <w:t>.</w:t>
      </w:r>
    </w:p>
    <w:p>
      <w:pPr>
        <w:pStyle w:val="PR3"/>
        <w:numPr>
          <w:ilvl w:val="6"/>
          <w:numId w:val="1"/>
        </w:numPr>
        <w:outlineLvl w:val="9"/>
        <w:rPr/>
      </w:pPr>
      <w:r>
        <w:rPr/>
        <w:t>PART 5: Open Buildings.</w:t>
      </w:r>
    </w:p>
    <w:p>
      <w:pPr>
        <w:pStyle w:val="PR2"/>
        <w:numPr>
          <w:ilvl w:val="5"/>
          <w:numId w:val="1"/>
        </w:numPr>
        <w:tabs>
          <w:tab w:val="clear" w:pos="1440"/>
          <w:tab w:val="left" w:pos="1476" w:leader="none"/>
        </w:tabs>
        <w:spacing w:before="240" w:after="0"/>
        <w:ind w:hanging="547" w:left="1454" w:right="0"/>
        <w:rPr/>
      </w:pPr>
      <w:r>
        <w:rPr/>
        <w:t>Design wind pressure "p" for rooftop equipment must be calculated by Delegated Design Contractor using methods in ASCE/SEI 7-10, Ch. 30, PART 6: Building Appurtenances and Rooftop Structures and Equipment.</w:t>
      </w:r>
    </w:p>
    <w:p>
      <w:pPr>
        <w:pStyle w:val="CMT"/>
        <w:rPr/>
      </w:pPr>
      <w:r>
        <w:rPr/>
        <w:t>"Risk Category " value is determined from ASCE/SEI 7-10, Table 1.5-1.</w:t>
      </w:r>
    </w:p>
    <w:p>
      <w:pPr>
        <w:pStyle w:val="PR3"/>
        <w:numPr>
          <w:ilvl w:val="6"/>
          <w:numId w:val="1"/>
        </w:numPr>
        <w:rPr/>
      </w:pPr>
      <w:r>
        <w:rPr/>
        <w:t>Risk Category: [</w:t>
      </w:r>
      <w:r>
        <w:rPr>
          <w:b/>
        </w:rPr>
        <w:t>I</w:t>
      </w:r>
      <w:r>
        <w:rPr/>
        <w:t>] [</w:t>
      </w:r>
      <w:r>
        <w:rPr>
          <w:b/>
        </w:rPr>
        <w:t>II</w:t>
      </w:r>
      <w:r>
        <w:rPr/>
        <w:t>] [</w:t>
      </w:r>
      <w:r>
        <w:rPr>
          <w:b/>
        </w:rPr>
        <w:t>III</w:t>
      </w:r>
      <w:r>
        <w:rPr/>
        <w:t>] [</w:t>
      </w:r>
      <w:r>
        <w:rPr>
          <w:b/>
        </w:rPr>
        <w:t>IV</w:t>
      </w:r>
      <w:r>
        <w:rPr/>
        <w:t>] [</w:t>
      </w:r>
      <w:r>
        <w:rPr>
          <w:b/>
        </w:rPr>
        <w:t>V</w:t>
      </w:r>
      <w:r>
        <w:rPr/>
        <w:t>].</w:t>
      </w:r>
    </w:p>
    <w:p>
      <w:pPr>
        <w:pStyle w:val="CMT"/>
        <w:rPr/>
      </w:pPr>
      <w:r>
        <w:rPr/>
        <w:t>"Mean Roof Height" is determined from Project Drawings.</w:t>
      </w:r>
    </w:p>
    <w:p>
      <w:pPr>
        <w:pStyle w:val="PR3"/>
        <w:numPr>
          <w:ilvl w:val="6"/>
          <w:numId w:val="1"/>
        </w:numPr>
        <w:rPr/>
      </w:pPr>
      <w:r>
        <w:rPr/>
        <w:t>Mean Roof Height (h): &lt;</w:t>
      </w:r>
      <w:r>
        <w:rPr>
          <w:b/>
        </w:rPr>
        <w:t>Insert value</w:t>
      </w:r>
      <w:r>
        <w:rPr/>
        <w:t>&gt;.</w:t>
      </w:r>
    </w:p>
    <w:p>
      <w:pPr>
        <w:pStyle w:val="CMT"/>
        <w:rPr/>
      </w:pPr>
      <w:r>
        <w:rPr/>
        <w:t>"Basic Wind Speed" value is obtained from Wind Hazard map in ASCE/SEI 7-10, Figures 26.5-1A through 26.1C or other source approved by authorities having jurisdiction.</w:t>
      </w:r>
    </w:p>
    <w:p>
      <w:pPr>
        <w:pStyle w:val="PR3"/>
        <w:numPr>
          <w:ilvl w:val="6"/>
          <w:numId w:val="1"/>
        </w:numPr>
        <w:rPr/>
      </w:pPr>
      <w:r>
        <w:rPr>
          <w:bCs/>
        </w:rPr>
        <w:t>Basic Wind Speed (V)</w:t>
      </w:r>
      <w:r>
        <w:rPr/>
        <w:t>: &lt;</w:t>
      </w:r>
      <w:r>
        <w:rPr>
          <w:b/>
        </w:rPr>
        <w:t>Insert value</w:t>
      </w:r>
      <w:r>
        <w:rPr/>
        <w:t>&gt;.</w:t>
      </w:r>
    </w:p>
    <w:p>
      <w:pPr>
        <w:pStyle w:val="CMT"/>
        <w:rPr/>
      </w:pPr>
      <w:r>
        <w:rPr/>
        <w:t xml:space="preserve">"Wind Directionality Factor" value is obtained from ASCE/SEI 7-10 </w:t>
      </w:r>
      <w:r>
        <w:rPr>
          <w:bCs/>
        </w:rPr>
        <w:t xml:space="preserve">Section 26.6 and Table 26.6-1 </w:t>
      </w:r>
      <w:r>
        <w:rPr/>
        <w:t>or other source approved by authorities having jurisdiction.</w:t>
      </w:r>
    </w:p>
    <w:p>
      <w:pPr>
        <w:pStyle w:val="PR3"/>
        <w:numPr>
          <w:ilvl w:val="6"/>
          <w:numId w:val="1"/>
        </w:numPr>
        <w:rPr/>
      </w:pPr>
      <w:r>
        <w:rPr/>
        <w:t>Wind Directionality Factor (K</w:t>
      </w:r>
      <w:r>
        <w:rPr>
          <w:vertAlign w:val="subscript"/>
        </w:rPr>
        <w:t>d</w:t>
      </w:r>
      <w:r>
        <w:rPr/>
        <w:t>): &lt;</w:t>
      </w:r>
      <w:r>
        <w:rPr>
          <w:b/>
        </w:rPr>
        <w:t>Insert factor</w:t>
      </w:r>
      <w:r>
        <w:rPr/>
        <w:t>&gt;.</w:t>
      </w:r>
    </w:p>
    <w:p>
      <w:pPr>
        <w:pStyle w:val="CMT"/>
        <w:rPr/>
      </w:pPr>
      <w:r>
        <w:rPr/>
        <w:t xml:space="preserve">"Exposure Category" value is obtained from ASCE/SEI 7-10 </w:t>
      </w:r>
      <w:r>
        <w:rPr>
          <w:bCs/>
        </w:rPr>
        <w:t xml:space="preserve">Section 26.7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from ASCE/SEI 7-10 Section 26.8 and Table 26.8-1 or other source approved by authorities having jurisdiction.</w:t>
      </w:r>
    </w:p>
    <w:p>
      <w:pPr>
        <w:pStyle w:val="PR3"/>
        <w:numPr>
          <w:ilvl w:val="6"/>
          <w:numId w:val="1"/>
        </w:numPr>
        <w:rPr/>
      </w:pPr>
      <w:r>
        <w:rPr/>
        <w:t>Topographic Factor (K</w:t>
      </w:r>
      <w:r>
        <w:rPr>
          <w:vertAlign w:val="subscript"/>
        </w:rPr>
        <w:t>zt</w:t>
      </w:r>
      <w:r>
        <w:rPr/>
        <w:t>): &lt;</w:t>
      </w:r>
      <w:r>
        <w:rPr>
          <w:b/>
        </w:rPr>
        <w:t>Insert factor</w:t>
      </w:r>
      <w:r>
        <w:rPr/>
        <w:t>&gt;.</w:t>
      </w:r>
    </w:p>
    <w:p>
      <w:pPr>
        <w:pStyle w:val="CMT"/>
        <w:rPr/>
      </w:pPr>
      <w:r>
        <w:rPr/>
        <w:t>"Velocity Pressure Exposure Coefficient" is obtained from ASCE/SEI 7-10 Section 26.10.1 or other source approved by authorities having jurisdiction.</w:t>
      </w:r>
    </w:p>
    <w:p>
      <w:pPr>
        <w:pStyle w:val="PR3"/>
        <w:numPr>
          <w:ilvl w:val="6"/>
          <w:numId w:val="1"/>
        </w:numPr>
        <w:rPr/>
      </w:pPr>
      <w:r>
        <w:rPr/>
        <w:t>Velocity Pressure Exposure Coefficient (Evaluated at Height z) (K</w:t>
      </w:r>
      <w:r>
        <w:rPr>
          <w:vertAlign w:val="subscript"/>
        </w:rPr>
        <w:t>z</w:t>
      </w:r>
      <w:r>
        <w:rPr/>
        <w:t>): &lt;</w:t>
      </w:r>
      <w:r>
        <w:rPr>
          <w:b/>
        </w:rPr>
        <w:t>Insert coefficient</w:t>
      </w:r>
      <w:r>
        <w:rPr/>
        <w:t>&gt;.</w:t>
      </w:r>
    </w:p>
    <w:p>
      <w:pPr>
        <w:pStyle w:val="PR3"/>
        <w:numPr>
          <w:ilvl w:val="6"/>
          <w:numId w:val="1"/>
        </w:numPr>
        <w:rPr/>
      </w:pPr>
      <w:r>
        <w:rPr/>
        <w:t>Velocity Pressure Exposure Coefficient (Evaluated at Height h) (K</w:t>
      </w:r>
      <w:r>
        <w:rPr>
          <w:vertAlign w:val="subscript"/>
        </w:rPr>
        <w:t>h</w:t>
      </w:r>
      <w:r>
        <w:rPr/>
        <w:t>): &lt;</w:t>
      </w:r>
      <w:r>
        <w:rPr>
          <w:b/>
        </w:rPr>
        <w:t>Insert coefficient</w:t>
      </w:r>
      <w:r>
        <w:rPr/>
        <w:t>&gt;.</w:t>
      </w:r>
    </w:p>
    <w:p>
      <w:pPr>
        <w:pStyle w:val="PR3"/>
        <w:numPr>
          <w:ilvl w:val="6"/>
          <w:numId w:val="1"/>
        </w:numPr>
        <w:rPr/>
      </w:pPr>
      <w:r>
        <w:rPr>
          <w:bCs/>
        </w:rPr>
        <w:t>Velocity Pressure at Height </w:t>
      </w:r>
      <w:r>
        <w:rPr/>
        <w:t>z (</w:t>
      </w:r>
      <w:r>
        <w:rPr>
          <w:bCs/>
        </w:rPr>
        <w:t>q</w:t>
      </w:r>
      <w:r>
        <w:rPr>
          <w:bCs/>
          <w:vertAlign w:val="subscript"/>
        </w:rPr>
        <w:t>z</w:t>
      </w:r>
      <w:r>
        <w:rPr/>
        <w:t>)</w:t>
      </w:r>
      <w:r>
        <w:rPr>
          <w:bCs/>
        </w:rPr>
        <w:t xml:space="preserve">: </w:t>
      </w:r>
      <w:r>
        <w:rPr/>
        <w:t>Value is calculated by delegated wind-load design Contractor using methods detailed in ASCE/SEI 7-10 Section 26.10.1 or other source approved by authorities having jurisdiction.</w:t>
      </w:r>
    </w:p>
    <w:p>
      <w:pPr>
        <w:pStyle w:val="PR3"/>
        <w:numPr>
          <w:ilvl w:val="6"/>
          <w:numId w:val="1"/>
        </w:numPr>
        <w:rPr/>
      </w:pPr>
      <w:r>
        <w:rPr>
          <w:bCs/>
        </w:rPr>
        <w:t>Velocity Pressure at Height h (q</w:t>
      </w:r>
      <w:r>
        <w:rPr>
          <w:bCs/>
          <w:vertAlign w:val="subscript"/>
        </w:rPr>
        <w:t>h</w:t>
      </w:r>
      <w:r>
        <w:rPr>
          <w:bCs/>
        </w:rPr>
        <w:t xml:space="preserve">): </w:t>
      </w:r>
      <w:r>
        <w:rPr/>
        <w:t>Value is calculated by delegated wind-load design Contractor using methods detailed in ASCE/SEI 7-10 Section 26.10.1 or other source approved by authorities having jurisdiction.</w:t>
      </w:r>
    </w:p>
    <w:p>
      <w:pPr>
        <w:pStyle w:val="CMT"/>
        <w:rPr/>
      </w:pPr>
      <w:r>
        <w:rPr/>
        <w:t>"Gust-Effect Factor" is obtained from ASCE/SEI 7-10 Section 26.9 or other source approved by authorities having jurisdiction.</w:t>
      </w:r>
    </w:p>
    <w:p>
      <w:pPr>
        <w:pStyle w:val="PR3"/>
        <w:numPr>
          <w:ilvl w:val="6"/>
          <w:numId w:val="1"/>
        </w:numPr>
        <w:rPr/>
      </w:pPr>
      <w:r>
        <w:rPr/>
        <w:t>Gust-Effect Factor (G): [</w:t>
      </w:r>
      <w:r>
        <w:rPr>
          <w:b/>
        </w:rPr>
        <w:t>0.85</w:t>
      </w:r>
      <w:r>
        <w:rPr/>
        <w:t>] &lt;</w:t>
      </w:r>
      <w:r>
        <w:rPr>
          <w:b/>
        </w:rPr>
        <w:t>Insert factor</w:t>
      </w:r>
      <w:r>
        <w:rPr/>
        <w:t>&gt;.</w:t>
      </w:r>
    </w:p>
    <w:p>
      <w:pPr>
        <w:pStyle w:val="CMT"/>
        <w:rPr/>
      </w:pPr>
      <w:r>
        <w:rPr/>
        <w:t>"Enclosure Classification" is obtained from ASCE/SEI 7-10 Section 26.10 or other source approved by authorities having jurisdiction.</w:t>
      </w:r>
    </w:p>
    <w:p>
      <w:pPr>
        <w:pStyle w:val="PR3"/>
        <w:numPr>
          <w:ilvl w:val="6"/>
          <w:numId w:val="1"/>
        </w:numPr>
        <w:rPr/>
      </w:pPr>
      <w:r>
        <w:rPr/>
        <w:t>Enclosure Classification: &lt;</w:t>
      </w:r>
      <w:r>
        <w:rPr>
          <w:b/>
        </w:rPr>
        <w:t>Insert classification</w:t>
      </w:r>
      <w:r>
        <w:rPr/>
        <w:t>&gt;.</w:t>
      </w:r>
    </w:p>
    <w:p>
      <w:pPr>
        <w:pStyle w:val="CMT"/>
        <w:rPr/>
      </w:pPr>
      <w:r>
        <w:rPr/>
        <w:t>"Internal Pressure Coefficient" is obtained from ASCE/SEI 7-10 Section 26.11 and Table 26.11-1 or other source approved by authorities having jurisdiction.</w:t>
      </w:r>
    </w:p>
    <w:p>
      <w:pPr>
        <w:pStyle w:val="PR3"/>
        <w:numPr>
          <w:ilvl w:val="6"/>
          <w:numId w:val="1"/>
        </w:numPr>
        <w:rPr/>
      </w:pPr>
      <w:r>
        <w:rPr/>
        <w:t>Internal Pressure Coefficient (GC</w:t>
      </w:r>
      <w:r>
        <w:rPr>
          <w:vertAlign w:val="subscript"/>
        </w:rPr>
        <w:t>pi</w:t>
      </w:r>
      <w:r>
        <w:rPr/>
        <w:t>): &lt;</w:t>
      </w:r>
      <w:r>
        <w:rPr>
          <w:b/>
        </w:rPr>
        <w:t>Insert coefficient</w:t>
      </w:r>
      <w:r>
        <w:rPr/>
        <w:t>&gt;.</w:t>
      </w:r>
    </w:p>
    <w:p>
      <w:pPr>
        <w:pStyle w:val="CMT"/>
        <w:rPr/>
      </w:pPr>
      <w:r>
        <w:rPr/>
        <w:t>Retain design wind-load subparagraph below if ASCE/SEI 7-05 applies to this Project.</w:t>
      </w:r>
    </w:p>
    <w:p>
      <w:pPr>
        <w:pStyle w:val="PR2"/>
        <w:numPr>
          <w:ilvl w:val="5"/>
          <w:numId w:val="1"/>
        </w:numPr>
        <w:spacing w:before="240" w:after="0"/>
        <w:rPr/>
      </w:pPr>
      <w:r>
        <w:rPr/>
        <w:t>Design wind-load "F" for rooftop equipment and external sidewall-mounted equipment must be calculated by Delegated Design Contractor using methods in ASCE/SEI 7-05, Ch. 6.</w:t>
      </w:r>
    </w:p>
    <w:p>
      <w:pPr>
        <w:pStyle w:val="CMT"/>
        <w:rPr/>
      </w:pPr>
      <w:r>
        <w:rPr/>
        <w:t>"Importance Factor" value is determined from ASCE/SEI 7-05, Table 6-1 and ASCE/SEI 7-05, Table 1-1.</w:t>
      </w:r>
    </w:p>
    <w:p>
      <w:pPr>
        <w:pStyle w:val="PR3"/>
        <w:numPr>
          <w:ilvl w:val="6"/>
          <w:numId w:val="1"/>
        </w:numPr>
        <w:spacing w:before="240" w:after="0"/>
        <w:rPr/>
      </w:pPr>
      <w:r>
        <w:rPr/>
        <w:t>Importance Factor (I): &lt;</w:t>
      </w:r>
      <w:r>
        <w:rPr>
          <w:b/>
        </w:rPr>
        <w:t>Insert factor</w:t>
      </w:r>
      <w:r>
        <w:rPr/>
        <w:t>&gt;.</w:t>
      </w:r>
    </w:p>
    <w:p>
      <w:pPr>
        <w:pStyle w:val="CMT"/>
        <w:rPr/>
      </w:pPr>
      <w:r>
        <w:rPr/>
        <w:t>"Mean Roof Height" is determined from Project Drawings.</w:t>
      </w:r>
    </w:p>
    <w:p>
      <w:pPr>
        <w:pStyle w:val="PR3"/>
        <w:numPr>
          <w:ilvl w:val="6"/>
          <w:numId w:val="1"/>
        </w:numPr>
        <w:rPr/>
      </w:pPr>
      <w:r>
        <w:rPr/>
        <w:t>Mean Roof Height (h): &lt;</w:t>
      </w:r>
      <w:r>
        <w:rPr>
          <w:b/>
        </w:rPr>
        <w:t>Insert value</w:t>
      </w:r>
      <w:r>
        <w:rPr/>
        <w:t>&gt;.</w:t>
      </w:r>
    </w:p>
    <w:p>
      <w:pPr>
        <w:pStyle w:val="CMT"/>
        <w:rPr/>
      </w:pPr>
      <w:r>
        <w:rPr/>
        <w:t xml:space="preserve">"Basic Wind Speed" value is obtained from Wind Hazard map in ASCE/SEI 7-05, Figure 6.1 or other source approved by authorities having jurisdiction. </w:t>
      </w:r>
    </w:p>
    <w:p>
      <w:pPr>
        <w:pStyle w:val="PR3"/>
        <w:numPr>
          <w:ilvl w:val="6"/>
          <w:numId w:val="1"/>
        </w:numPr>
        <w:rPr/>
      </w:pPr>
      <w:r>
        <w:rPr>
          <w:bCs/>
        </w:rPr>
        <w:t xml:space="preserve">Basic Wind </w:t>
      </w:r>
      <w:r>
        <w:rPr/>
        <w:t>Speed (</w:t>
      </w:r>
      <w:r>
        <w:rPr>
          <w:bCs/>
        </w:rPr>
        <w:t>V</w:t>
      </w:r>
      <w:r>
        <w:rPr/>
        <w:t>): &lt;</w:t>
      </w:r>
      <w:r>
        <w:rPr>
          <w:b/>
        </w:rPr>
        <w:t>Insert value</w:t>
      </w:r>
      <w:r>
        <w:rPr/>
        <w:t>&gt;.</w:t>
      </w:r>
    </w:p>
    <w:p>
      <w:pPr>
        <w:pStyle w:val="CMT"/>
        <w:rPr/>
      </w:pPr>
      <w:r>
        <w:rPr/>
        <w:t>"Wind Directionality Factor" value is obtained from ASCE/SEI 7-05, Table 6-4</w:t>
      </w:r>
      <w:r>
        <w:rPr>
          <w:bCs/>
        </w:rPr>
        <w:t xml:space="preserve"> </w:t>
      </w:r>
      <w:r>
        <w:rPr/>
        <w:t>or other source approved by authorities having jurisdiction.</w:t>
      </w:r>
    </w:p>
    <w:p>
      <w:pPr>
        <w:pStyle w:val="PR3"/>
        <w:numPr>
          <w:ilvl w:val="6"/>
          <w:numId w:val="1"/>
        </w:numPr>
        <w:rPr/>
      </w:pPr>
      <w:r>
        <w:rPr/>
        <w:t>Wind Directionality Factor (K</w:t>
      </w:r>
      <w:r>
        <w:rPr>
          <w:vertAlign w:val="subscript"/>
        </w:rPr>
        <w:t>d</w:t>
      </w:r>
      <w:r>
        <w:rPr/>
        <w:t>): &lt;</w:t>
      </w:r>
      <w:r>
        <w:rPr>
          <w:b/>
        </w:rPr>
        <w:t>Insert factor</w:t>
      </w:r>
      <w:r>
        <w:rPr/>
        <w:t>&gt;.</w:t>
      </w:r>
    </w:p>
    <w:p>
      <w:pPr>
        <w:pStyle w:val="CMT"/>
        <w:rPr/>
      </w:pPr>
      <w:r>
        <w:rPr/>
        <w:t xml:space="preserve">"Exposure Category" value is obtained from ASCE/SEI 7-05 </w:t>
      </w:r>
      <w:r>
        <w:rPr>
          <w:bCs/>
        </w:rPr>
        <w:t xml:space="preserve">Section 6.5.6.3 </w:t>
      </w:r>
      <w:r>
        <w:rPr/>
        <w:t>or other source approved by authorities having jurisdiction.</w:t>
      </w:r>
    </w:p>
    <w:p>
      <w:pPr>
        <w:pStyle w:val="PR3"/>
        <w:numPr>
          <w:ilvl w:val="6"/>
          <w:numId w:val="1"/>
        </w:numPr>
        <w:rPr/>
      </w:pPr>
      <w:r>
        <w:rPr/>
        <w:t>Exposure Category: [</w:t>
      </w:r>
      <w:r>
        <w:rPr>
          <w:b/>
        </w:rPr>
        <w:t>B</w:t>
      </w:r>
      <w:r>
        <w:rPr/>
        <w:t>] [</w:t>
      </w:r>
      <w:r>
        <w:rPr>
          <w:b/>
        </w:rPr>
        <w:t>C</w:t>
      </w:r>
      <w:r>
        <w:rPr/>
        <w:t>] [</w:t>
      </w:r>
      <w:r>
        <w:rPr>
          <w:b/>
        </w:rPr>
        <w:t>D</w:t>
      </w:r>
      <w:r>
        <w:rPr/>
        <w:t>].</w:t>
      </w:r>
    </w:p>
    <w:p>
      <w:pPr>
        <w:pStyle w:val="CMT"/>
        <w:rPr/>
      </w:pPr>
      <w:r>
        <w:rPr/>
        <w:t>"Topographic Factor" value is obtained from ASCE/SEI 7-05 Section 6.5.7.2, Table 6-4 or other source approved by authorities having jurisdiction.</w:t>
      </w:r>
    </w:p>
    <w:p>
      <w:pPr>
        <w:pStyle w:val="PR3"/>
        <w:numPr>
          <w:ilvl w:val="6"/>
          <w:numId w:val="1"/>
        </w:numPr>
        <w:rPr/>
      </w:pPr>
      <w:r>
        <w:rPr/>
        <w:t>Topographic Factor (K</w:t>
      </w:r>
      <w:r>
        <w:rPr>
          <w:vertAlign w:val="subscript"/>
        </w:rPr>
        <w:t>zt</w:t>
      </w:r>
      <w:r>
        <w:rPr/>
        <w:t>): &lt;</w:t>
      </w:r>
      <w:r>
        <w:rPr>
          <w:b/>
        </w:rPr>
        <w:t>Insert factor</w:t>
      </w:r>
      <w:r>
        <w:rPr/>
        <w:t>&gt;.</w:t>
      </w:r>
    </w:p>
    <w:p>
      <w:pPr>
        <w:pStyle w:val="CMT"/>
        <w:rPr/>
      </w:pPr>
      <w:r>
        <w:rPr/>
        <w:t>"Velocity Pressure Exposure Coefficient" is obtained from ASCE/SEI 7-05 Section 6.5.6.6, Table 6-3 or other source approved by authorities having jurisdiction.</w:t>
      </w:r>
    </w:p>
    <w:p>
      <w:pPr>
        <w:pStyle w:val="PR3"/>
        <w:numPr>
          <w:ilvl w:val="6"/>
          <w:numId w:val="1"/>
        </w:numPr>
        <w:rPr/>
      </w:pPr>
      <w:r>
        <w:rPr/>
        <w:t>Velocity Pressure Exposure Coefficient (Evaluated at Height z) (K</w:t>
      </w:r>
      <w:r>
        <w:rPr>
          <w:vertAlign w:val="subscript"/>
        </w:rPr>
        <w:t>z</w:t>
      </w:r>
      <w:r>
        <w:rPr/>
        <w:t>): &lt;</w:t>
      </w:r>
      <w:r>
        <w:rPr>
          <w:b/>
        </w:rPr>
        <w:t>Insert coefficient</w:t>
      </w:r>
      <w:r>
        <w:rPr/>
        <w:t>&gt;.</w:t>
      </w:r>
    </w:p>
    <w:p>
      <w:pPr>
        <w:pStyle w:val="PR3"/>
        <w:numPr>
          <w:ilvl w:val="6"/>
          <w:numId w:val="1"/>
        </w:numPr>
        <w:rPr/>
      </w:pPr>
      <w:r>
        <w:rPr/>
        <w:t>Velocity Pressure Exposure Coefficient (Evaluated at Height h) (K</w:t>
      </w:r>
      <w:r>
        <w:rPr>
          <w:vertAlign w:val="subscript"/>
        </w:rPr>
        <w:t>h</w:t>
      </w:r>
      <w:r>
        <w:rPr/>
        <w:t>): &lt;</w:t>
      </w:r>
      <w:r>
        <w:rPr>
          <w:b/>
        </w:rPr>
        <w:t>Insert coefficient</w:t>
      </w:r>
      <w:r>
        <w:rPr/>
        <w:t>&gt;.</w:t>
      </w:r>
    </w:p>
    <w:p>
      <w:pPr>
        <w:pStyle w:val="PR3"/>
        <w:numPr>
          <w:ilvl w:val="6"/>
          <w:numId w:val="1"/>
        </w:numPr>
        <w:rPr/>
      </w:pPr>
      <w:r>
        <w:rPr>
          <w:bCs/>
        </w:rPr>
        <w:t>Velocity Pressure at Height z (q</w:t>
      </w:r>
      <w:r>
        <w:rPr>
          <w:bCs/>
          <w:vertAlign w:val="subscript"/>
        </w:rPr>
        <w:t>z</w:t>
      </w:r>
      <w:r>
        <w:rPr>
          <w:bCs/>
        </w:rPr>
        <w:t xml:space="preserve">): </w:t>
      </w:r>
      <w:r>
        <w:rPr/>
        <w:t>Value is calculated by delegated wind-load design Contractor using methods detailed in ASCE/SEI 7-05 Section 6.5.10 or other source approved by authorities having jurisdiction.</w:t>
      </w:r>
    </w:p>
    <w:p>
      <w:pPr>
        <w:pStyle w:val="PR3"/>
        <w:numPr>
          <w:ilvl w:val="6"/>
          <w:numId w:val="1"/>
        </w:numPr>
        <w:rPr/>
      </w:pPr>
      <w:r>
        <w:rPr>
          <w:bCs/>
        </w:rPr>
        <w:t>Velocity Pressure at Roof Height h (q</w:t>
      </w:r>
      <w:r>
        <w:rPr>
          <w:bCs/>
          <w:vertAlign w:val="subscript"/>
        </w:rPr>
        <w:t>h</w:t>
      </w:r>
      <w:r>
        <w:rPr>
          <w:bCs/>
        </w:rPr>
        <w:t xml:space="preserve">): </w:t>
      </w:r>
      <w:r>
        <w:rPr/>
        <w:t>Value is calculated by delegated wind-load design Contractor using methods detailed in ASCE/SEI 7-05 Section 6.5.10 or other source approved by authorities having jurisdiction.</w:t>
      </w:r>
      <w:r>
        <w:rPr>
          <w:bCs/>
        </w:rPr>
        <w:t xml:space="preserve"> </w:t>
      </w:r>
    </w:p>
    <w:p>
      <w:pPr>
        <w:pStyle w:val="CMT"/>
        <w:rPr/>
      </w:pPr>
      <w:r>
        <w:rPr/>
        <w:t>"Gust-Effect Factor" is obtained from ASCE/SEI 7-05 Section 6.5.8 or other source approved by authorities having jurisdiction.</w:t>
      </w:r>
    </w:p>
    <w:p>
      <w:pPr>
        <w:pStyle w:val="PR3"/>
        <w:numPr>
          <w:ilvl w:val="6"/>
          <w:numId w:val="1"/>
        </w:numPr>
        <w:rPr/>
      </w:pPr>
      <w:r>
        <w:rPr/>
        <w:t>Gust-Effect Factor (G): [</w:t>
      </w:r>
      <w:r>
        <w:rPr>
          <w:b/>
        </w:rPr>
        <w:t>0.85</w:t>
      </w:r>
      <w:r>
        <w:rPr/>
        <w:t>] &lt;</w:t>
      </w:r>
      <w:r>
        <w:rPr>
          <w:b/>
        </w:rPr>
        <w:t>Insert factor</w:t>
      </w:r>
      <w:r>
        <w:rPr/>
        <w:t>&gt;.</w:t>
      </w:r>
    </w:p>
    <w:p>
      <w:pPr>
        <w:pStyle w:val="CMT"/>
        <w:rPr/>
      </w:pPr>
      <w:r>
        <w:rPr/>
        <w:t>"Internal Pressure Coefficient" is obtained from ASCE/SEI 7-05, Figure 6-5 or other source approved by authorities having jurisdiction.</w:t>
      </w:r>
    </w:p>
    <w:p>
      <w:pPr>
        <w:pStyle w:val="PR3"/>
        <w:numPr>
          <w:ilvl w:val="6"/>
          <w:numId w:val="1"/>
        </w:numPr>
        <w:rPr/>
      </w:pPr>
      <w:r>
        <w:rPr/>
        <w:t>Internal Pressure Coefficient (GC</w:t>
      </w:r>
      <w:r>
        <w:rPr>
          <w:vertAlign w:val="subscript"/>
        </w:rPr>
        <w:t>pi</w:t>
      </w:r>
      <w:r>
        <w:rPr/>
        <w:t>): &lt;</w:t>
      </w:r>
      <w:r>
        <w:rPr>
          <w:b/>
        </w:rPr>
        <w:t>Insert coefficient</w:t>
      </w:r>
      <w:r>
        <w:rPr/>
        <w:t>&gt;.</w:t>
      </w:r>
    </w:p>
    <w:p>
      <w:pPr>
        <w:pStyle w:val="CMT"/>
        <w:rPr/>
      </w:pPr>
      <w:r>
        <w:rPr/>
        <w:t>"External Pressure Coefficient" is obtained from ASCE/SEI 7-05, Figures 6-11 through 6-16 or other source approved by authorities having jurisdiction.</w:t>
      </w:r>
    </w:p>
    <w:p>
      <w:pPr>
        <w:pStyle w:val="PR3"/>
        <w:numPr>
          <w:ilvl w:val="6"/>
          <w:numId w:val="1"/>
        </w:numPr>
        <w:rPr/>
      </w:pPr>
      <w:r>
        <w:rPr/>
        <w:t>External Pressure Coefficient (GC</w:t>
      </w:r>
      <w:r>
        <w:rPr>
          <w:vertAlign w:val="subscript"/>
        </w:rPr>
        <w:t>p</w:t>
      </w:r>
      <w:r>
        <w:rPr/>
        <w:t>): &lt;</w:t>
      </w:r>
      <w:r>
        <w:rPr>
          <w:b/>
        </w:rPr>
        <w:t>Insert coefficient</w:t>
      </w:r>
      <w:r>
        <w:rPr/>
        <w:t>&gt;.</w:t>
      </w:r>
    </w:p>
    <w:p>
      <w:pPr>
        <w:pStyle w:val="PR3"/>
        <w:numPr>
          <w:ilvl w:val="6"/>
          <w:numId w:val="1"/>
        </w:numPr>
        <w:rPr/>
      </w:pPr>
      <w:r>
        <w:rPr/>
        <w:t>Force Coefficient (C</w:t>
      </w:r>
      <w:r>
        <w:rPr>
          <w:vertAlign w:val="subscript"/>
        </w:rPr>
        <w:t>f</w:t>
      </w:r>
      <w:r>
        <w:rPr/>
        <w:t>): Value is determined by delegated wind-load design Contractor from ASCE/SEI 7-05, Figures 6-21 through 6-23 or other source approved by authorities having jurisdiction.</w:t>
      </w:r>
    </w:p>
    <w:p>
      <w:pPr>
        <w:pStyle w:val="PR3"/>
        <w:numPr>
          <w:ilvl w:val="6"/>
          <w:numId w:val="1"/>
        </w:numPr>
        <w:rPr/>
      </w:pPr>
      <w:r>
        <w:rPr/>
        <w:t>Projected Area Normal to the Wind (A</w:t>
      </w:r>
      <w:r>
        <w:rPr>
          <w:vertAlign w:val="subscript"/>
        </w:rPr>
        <w:t>f</w:t>
      </w:r>
      <w:r>
        <w:rPr/>
        <w:t>): Except where C</w:t>
      </w:r>
      <w:r>
        <w:rPr>
          <w:vertAlign w:val="subscript"/>
        </w:rPr>
        <w:t>f</w:t>
      </w:r>
      <w:r>
        <w:rPr/>
        <w:t xml:space="preserve"> is specified for the actual surface area. Value is determined by delegated wind-load design Contractor from equipment submittal or manufacturer.</w:t>
      </w:r>
    </w:p>
    <w:p>
      <w:pPr>
        <w:pStyle w:val="PR1"/>
        <w:numPr>
          <w:ilvl w:val="4"/>
          <w:numId w:val="1"/>
        </w:numPr>
        <w:rPr/>
      </w:pPr>
      <w:bookmarkStart w:id="5" w:name="_Hlk1329356"/>
      <w:bookmarkEnd w:id="5"/>
      <w:r>
        <w:rPr/>
        <w:t>Altitude:</w:t>
      </w:r>
    </w:p>
    <w:p>
      <w:pPr>
        <w:pStyle w:val="CMT"/>
        <w:rPr/>
      </w:pPr>
      <w:r>
        <w:rPr/>
        <w:t>Specify Project's altitude conditions in subparagraph below. Some equipment, such as generators, chillers, or pumps, may require performance derating at high altitude.</w:t>
      </w:r>
    </w:p>
    <w:p>
      <w:pPr>
        <w:pStyle w:val="PR2"/>
        <w:numPr>
          <w:ilvl w:val="5"/>
          <w:numId w:val="1"/>
        </w:numPr>
        <w:spacing w:before="240" w:after="0"/>
        <w:rPr/>
      </w:pPr>
      <w:r>
        <w:rPr/>
        <w:t>Sea level to [</w:t>
      </w:r>
      <w:r>
        <w:rPr>
          <w:rStyle w:val="IP"/>
          <w:b/>
        </w:rPr>
        <w:t>1000 ft.</w:t>
      </w:r>
      <w:r>
        <w:rPr>
          <w:rStyle w:val="SI"/>
          <w:b/>
        </w:rPr>
        <w:t xml:space="preserve"> (300 m)</w:t>
      </w:r>
      <w:r>
        <w:rPr/>
        <w:t>] &lt;</w:t>
      </w:r>
      <w:r>
        <w:rPr>
          <w:b/>
        </w:rPr>
        <w:t>Insert elevation</w:t>
      </w:r>
      <w:r>
        <w:rPr/>
        <w:t>&gt;.</w:t>
      </w:r>
    </w:p>
    <w:p>
      <w:pPr>
        <w:pStyle w:val="PR1"/>
        <w:numPr>
          <w:ilvl w:val="4"/>
          <w:numId w:val="1"/>
        </w:numPr>
        <w:rPr/>
      </w:pPr>
      <w:r>
        <w:rPr/>
        <w:t>Ambient Temperature:</w:t>
      </w:r>
    </w:p>
    <w:p>
      <w:pPr>
        <w:pStyle w:val="CMT"/>
        <w:rPr/>
      </w:pPr>
      <w:r>
        <w:rPr/>
        <w:t>Specify Project's ambient temperature conditions in subparagraph(s) below.</w:t>
      </w:r>
    </w:p>
    <w:p>
      <w:pPr>
        <w:pStyle w:val="PR2"/>
        <w:numPr>
          <w:ilvl w:val="5"/>
          <w:numId w:val="1"/>
        </w:numPr>
        <w:spacing w:before="240" w:after="0"/>
        <w:rPr/>
      </w:pPr>
      <w:r>
        <w:rPr/>
        <w:t>&lt;</w:t>
      </w:r>
      <w:r>
        <w:rPr>
          <w:b/>
        </w:rPr>
        <w:t>Insert requirements</w:t>
      </w:r>
      <w:r>
        <w:rPr/>
        <w:t>&gt;.</w:t>
      </w:r>
    </w:p>
    <w:p>
      <w:pPr>
        <w:pStyle w:val="PR1"/>
        <w:numPr>
          <w:ilvl w:val="4"/>
          <w:numId w:val="1"/>
        </w:numPr>
        <w:rPr/>
      </w:pPr>
      <w:r>
        <w:rPr/>
        <w:t>Temperature Variation: Allow for thermal movements from the following differential temperatures:</w:t>
      </w:r>
    </w:p>
    <w:p>
      <w:pPr>
        <w:pStyle w:val="CMT"/>
        <w:rPr/>
      </w:pPr>
      <w:r>
        <w:rPr/>
        <w:t>Differential values in "Ambient Temperature Differential" and "Material Surface Temperature Differential" subparagraphs below (for aluminum in particular) are suitable for most of the United States.</w:t>
      </w:r>
    </w:p>
    <w:p>
      <w:pPr>
        <w:pStyle w:val="PR2"/>
        <w:numPr>
          <w:ilvl w:val="5"/>
          <w:numId w:val="1"/>
        </w:numPr>
        <w:spacing w:before="240" w:after="0"/>
        <w:rPr/>
      </w:pPr>
      <w:r>
        <w:rPr/>
        <w:t>Ambient Temperature Differential: [</w:t>
      </w:r>
      <w:r>
        <w:rPr>
          <w:rStyle w:val="IP"/>
          <w:b/>
        </w:rPr>
        <w:t>120 deg F</w:t>
      </w:r>
      <w:r>
        <w:rPr>
          <w:rStyle w:val="SI"/>
          <w:b/>
          <w:bCs/>
        </w:rPr>
        <w:t xml:space="preserve"> </w:t>
      </w:r>
      <w:r>
        <w:rPr>
          <w:rStyle w:val="SI"/>
          <w:b/>
        </w:rPr>
        <w:t>(67 deg C)</w:t>
      </w:r>
      <w:r>
        <w:rPr/>
        <w:t>] &lt;</w:t>
      </w:r>
      <w:r>
        <w:rPr>
          <w:b/>
        </w:rPr>
        <w:t>Insert temperature variation</w:t>
      </w:r>
      <w:r>
        <w:rPr/>
        <w:t>&gt;.</w:t>
      </w:r>
    </w:p>
    <w:p>
      <w:pPr>
        <w:pStyle w:val="PR2"/>
        <w:numPr>
          <w:ilvl w:val="5"/>
          <w:numId w:val="1"/>
        </w:numPr>
        <w:rPr/>
      </w:pPr>
      <w:r>
        <w:rPr/>
        <w:t>Material Surface Temperature Differential: [</w:t>
      </w:r>
      <w:r>
        <w:rPr>
          <w:rStyle w:val="IP"/>
          <w:b/>
          <w:bCs/>
        </w:rPr>
        <w:t>180 deg F</w:t>
      </w:r>
      <w:r>
        <w:rPr>
          <w:rStyle w:val="SI"/>
          <w:b/>
          <w:bCs/>
        </w:rPr>
        <w:t xml:space="preserve"> (100 deg C)</w:t>
      </w:r>
      <w:r>
        <w:rPr/>
        <w:t>] &lt;</w:t>
      </w:r>
      <w:r>
        <w:rPr>
          <w:b/>
        </w:rPr>
        <w:t>Insert temperature variation</w:t>
      </w:r>
      <w:r>
        <w:rPr/>
        <w:t>&gt;.</w:t>
      </w:r>
    </w:p>
    <w:p>
      <w:pPr>
        <w:pStyle w:val="PR2"/>
        <w:numPr>
          <w:ilvl w:val="5"/>
          <w:numId w:val="1"/>
        </w:numPr>
        <w:rPr/>
      </w:pPr>
      <w:r>
        <w:rPr/>
        <w:t xml:space="preserve">Ground Surface Temperature Differential to </w:t>
      </w:r>
      <w:r>
        <w:rPr>
          <w:rStyle w:val="IP"/>
        </w:rPr>
        <w:t>10 ft.</w:t>
      </w:r>
      <w:r>
        <w:rPr>
          <w:rStyle w:val="SI"/>
        </w:rPr>
        <w:t xml:space="preserve"> (3 m)</w:t>
      </w:r>
      <w:r>
        <w:rPr/>
        <w:t xml:space="preserve"> Depth: &lt;</w:t>
      </w:r>
      <w:r>
        <w:rPr>
          <w:b/>
        </w:rPr>
        <w:t>Insert temperature variation</w:t>
      </w:r>
      <w:r>
        <w:rPr/>
        <w:t>&gt;.</w:t>
      </w:r>
    </w:p>
    <w:p>
      <w:pPr>
        <w:pStyle w:val="PR1"/>
        <w:numPr>
          <w:ilvl w:val="4"/>
          <w:numId w:val="1"/>
        </w:numPr>
        <w:rPr/>
      </w:pPr>
      <w:r>
        <w:rPr/>
        <w:t>Ground Water:</w:t>
      </w:r>
    </w:p>
    <w:p>
      <w:pPr>
        <w:pStyle w:val="CMT"/>
        <w:rPr/>
      </w:pPr>
      <w:r>
        <w:rPr/>
        <w:t>Retain one of two subparagraphs below.</w:t>
      </w:r>
    </w:p>
    <w:p>
      <w:pPr>
        <w:pStyle w:val="PR2"/>
        <w:numPr>
          <w:ilvl w:val="5"/>
          <w:numId w:val="1"/>
        </w:numPr>
        <w:spacing w:before="240" w:after="0"/>
        <w:rPr/>
      </w:pPr>
      <w:r>
        <w:rPr/>
        <w:t>Assume ground-water level is at grade level unless a lower water table is noted on Drawings.</w:t>
      </w:r>
    </w:p>
    <w:p>
      <w:pPr>
        <w:pStyle w:val="PR2"/>
        <w:numPr>
          <w:ilvl w:val="5"/>
          <w:numId w:val="1"/>
        </w:numPr>
        <w:rPr/>
      </w:pPr>
      <w:r>
        <w:rPr/>
        <w:t>Assume ground-water level is [</w:t>
      </w:r>
      <w:r>
        <w:rPr>
          <w:rStyle w:val="IP"/>
          <w:b/>
        </w:rPr>
        <w:t>36 inch</w:t>
      </w:r>
      <w:r>
        <w:rPr>
          <w:rStyle w:val="SI"/>
          <w:b/>
        </w:rPr>
        <w:t xml:space="preserve"> (900 mm)</w:t>
      </w:r>
      <w:r>
        <w:rPr/>
        <w:t>] &lt;</w:t>
      </w:r>
      <w:r>
        <w:rPr>
          <w:b/>
        </w:rPr>
        <w:t>Insert dimension</w:t>
      </w:r>
      <w:r>
        <w:rPr/>
        <w:t>&gt; below ground surface unless a higher water table is indicated on Drawings.</w:t>
      </w:r>
    </w:p>
    <w:p>
      <w:pPr>
        <w:pStyle w:val="PR1"/>
        <w:numPr>
          <w:ilvl w:val="4"/>
          <w:numId w:val="1"/>
        </w:numPr>
        <w:rPr/>
      </w:pPr>
      <w:r>
        <w:rPr/>
        <w:t>Acoustical Performance Conditions:</w:t>
      </w:r>
    </w:p>
    <w:p>
      <w:pPr>
        <w:pStyle w:val="CMT"/>
        <w:rPr/>
      </w:pPr>
      <w:r>
        <w:rPr/>
        <w:t>Specify Project's acoustical conditions in subparagraph(s) below - for example, STC ratings for specific walls or wall types; local noise ordinance requirements; maximum noise requirements for classrooms, conference rooms, or auditoriums; maximum noise requirements for television studios; or requirements to prevent needing employee hearing protection in mechanical equipment rooms.</w:t>
      </w:r>
    </w:p>
    <w:p>
      <w:pPr>
        <w:pStyle w:val="PR2"/>
        <w:numPr>
          <w:ilvl w:val="5"/>
          <w:numId w:val="1"/>
        </w:numPr>
        <w:spacing w:before="240" w:after="0"/>
        <w:rPr/>
      </w:pPr>
      <w:r>
        <w:rPr/>
        <w:t>&lt;</w:t>
      </w:r>
      <w:r>
        <w:rPr>
          <w:b/>
        </w:rPr>
        <w:t>Insert requirements</w:t>
      </w:r>
      <w:r>
        <w:rPr/>
        <w:t>&gt;.</w:t>
      </w:r>
    </w:p>
    <w:p>
      <w:pPr>
        <w:pStyle w:val="PR1"/>
        <w:numPr>
          <w:ilvl w:val="4"/>
          <w:numId w:val="1"/>
        </w:numPr>
        <w:rPr/>
      </w:pPr>
      <w:r>
        <w:rPr/>
        <w:t>Hazardous Material Environmental Conditions:</w:t>
      </w:r>
    </w:p>
    <w:p>
      <w:pPr>
        <w:pStyle w:val="CMT"/>
        <w:rPr/>
      </w:pPr>
      <w:r>
        <w:rPr/>
        <w:t>Specify Project's hazardous material environmental conditions in subparagraph(s) below - for example, automotive service facilities and aircraft hangars may contain specific areas requiring equipment to comply with hazardous (classified) conditions. Indicate specific locations referenced here on Drawings.</w:t>
      </w:r>
    </w:p>
    <w:p>
      <w:pPr>
        <w:pStyle w:val="PR2"/>
        <w:numPr>
          <w:ilvl w:val="5"/>
          <w:numId w:val="1"/>
        </w:numPr>
        <w:spacing w:before="240" w:after="0"/>
        <w:rPr/>
      </w:pPr>
      <w:r>
        <w:rPr/>
        <w:t>&lt;</w:t>
      </w:r>
      <w:r>
        <w:rPr>
          <w:b/>
        </w:rPr>
        <w:t>Insert requirements</w:t>
      </w:r>
      <w:r>
        <w:rPr/>
        <w:t>&gt;.</w:t>
      </w:r>
    </w:p>
    <w:p>
      <w:pPr>
        <w:pStyle w:val="PR1"/>
        <w:numPr>
          <w:ilvl w:val="4"/>
          <w:numId w:val="1"/>
        </w:numPr>
        <w:rPr/>
      </w:pPr>
      <w:r>
        <w:rPr/>
        <w:t>Corrosive Environmental Conditions:</w:t>
      </w:r>
    </w:p>
    <w:p>
      <w:pPr>
        <w:pStyle w:val="CMT"/>
        <w:rPr/>
      </w:pPr>
      <w:r>
        <w:rPr/>
        <w:t>Specify Project's corrosive environmental conditions in subparagraph(s) below - for example, wastewater treatment facilities may have significant concentrations of hydrogen sulfide, which corrodes copper and stainless steel.</w:t>
      </w:r>
    </w:p>
    <w:p>
      <w:pPr>
        <w:pStyle w:val="PR2"/>
        <w:numPr>
          <w:ilvl w:val="5"/>
          <w:numId w:val="1"/>
        </w:numPr>
        <w:spacing w:before="240" w:after="0"/>
        <w:rPr/>
      </w:pPr>
      <w:r>
        <w:rPr/>
        <w:t>&lt;</w:t>
      </w:r>
      <w:r>
        <w:rPr>
          <w:b/>
        </w:rPr>
        <w:t>Insert requirements</w:t>
      </w:r>
      <w:r>
        <w:rPr/>
        <w:t>&gt;.</w:t>
      </w:r>
    </w:p>
    <w:p>
      <w:pPr>
        <w:pStyle w:val="PRT"/>
        <w:keepNext w:val="false"/>
        <w:numPr>
          <w:ilvl w:val="0"/>
          <w:numId w:val="1"/>
        </w:numPr>
        <w:ind w:hanging="0" w:left="0"/>
        <w:rPr/>
      </w:pPr>
      <w:r>
        <w:rPr/>
        <w:t>PRODUCTS (Not Used)</w:t>
      </w:r>
    </w:p>
    <w:p>
      <w:pPr>
        <w:pStyle w:val="PRT"/>
        <w:keepNext w:val="false"/>
        <w:numPr>
          <w:ilvl w:val="0"/>
          <w:numId w:val="1"/>
        </w:numPr>
        <w:ind w:hanging="0" w:left="0"/>
        <w:rPr/>
      </w:pPr>
      <w:r>
        <w:rPr/>
        <w:t>EXECUTION (Not Used)</w:t>
      </w:r>
    </w:p>
    <w:p>
      <w:pPr>
        <w:pStyle w:val="EOS"/>
        <w:rPr/>
      </w:pPr>
      <w:r>
        <w:rPr/>
        <w:t>END OF SECTION 260011</w:t>
      </w:r>
    </w:p>
    <w:sectPr>
      <w:headerReference w:type="default" r:id="rId3"/>
      <w:footerReference w:type="default" r:id="rId4"/>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urier New">
    <w:charset w:val="00"/>
    <w:family w:val="modern"/>
    <w:pitch w:val="default"/>
  </w:font>
  <w:font w:name="Wingdings">
    <w:charset w:val="02"/>
    <w:family w:val="auto"/>
    <w:pitch w:val="variable"/>
  </w:font>
  <w:font w:name="Tahoma">
    <w:charset w:val="00"/>
    <w:family w:val="swiss"/>
    <w:pitch w:val="variable"/>
  </w:font>
  <w:font w:name="Liberation Sans">
    <w:altName w:val="Arial"/>
    <w:charset w:val="01"/>
    <w:family w:val="swiss"/>
    <w:pitch w:val="variable"/>
  </w:font>
  <w:font w:name="Open Sans">
    <w:altName w:val="Tahoma"/>
    <w:charset w:val="00"/>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TR"/>
      <w:rPr/>
    </w:pPr>
    <w:r>
      <w:rPr/>
    </w:r>
  </w:p>
  <w:tbl>
    <w:tblPr>
      <w:tblW w:w="9360" w:type="dxa"/>
      <w:jc w:val="center"/>
      <w:tblInd w:w="0" w:type="dxa"/>
      <w:tblLayout w:type="fixed"/>
      <w:tblCellMar>
        <w:top w:w="0" w:type="dxa"/>
        <w:left w:w="101" w:type="dxa"/>
        <w:bottom w:w="0" w:type="dxa"/>
        <w:right w:w="101" w:type="dxa"/>
      </w:tblCellMar>
    </w:tblPr>
    <w:tblGrid>
      <w:gridCol w:w="7560"/>
      <w:gridCol w:w="1800"/>
    </w:tblGrid>
    <w:tr>
      <w:trPr>
        <w:cantSplit w:val="true"/>
      </w:trPr>
      <w:tc>
        <w:tcPr>
          <w:tcW w:w="7560" w:type="dxa"/>
          <w:tcBorders/>
        </w:tcPr>
        <w:p>
          <w:pPr>
            <w:pStyle w:val="Normal"/>
            <w:rPr/>
          </w:pPr>
          <w:r>
            <w:rPr>
              <w:rStyle w:val="NAM"/>
            </w:rPr>
            <w:t>FACILITY PERFORMANCE REQUIREMENTS FOR ELECTRICAL</w:t>
          </w:r>
        </w:p>
      </w:tc>
      <w:tc>
        <w:tcPr>
          <w:tcW w:w="1800" w:type="dxa"/>
          <w:tcBorders/>
        </w:tcPr>
        <w:p>
          <w:pPr>
            <w:pStyle w:val="Normal"/>
            <w:jc w:val="right"/>
            <w:rPr/>
          </w:pPr>
          <w:r>
            <w:rPr/>
            <w:t xml:space="preserve">260011 - </w:t>
          </w:r>
          <w:r>
            <w:rPr/>
            <w:fldChar w:fldCharType="begin"/>
          </w:r>
          <w:r>
            <w:rPr/>
            <w:instrText xml:space="preserve"> PAGE </w:instrText>
          </w:r>
          <w:r>
            <w:rPr/>
            <w:fldChar w:fldCharType="separate"/>
          </w:r>
          <w:r>
            <w:rPr/>
            <w:t>14</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2020 AIA</w:t>
    </w:r>
    <w:r>
      <w:rPr/>
      <w:tab/>
    </w:r>
    <w:r>
      <w:rPr>
        <w:rStyle w:val="SPN"/>
      </w:rPr>
      <w:t>MasterSpec Full Length</w:t>
    </w:r>
    <w:r>
      <w:rPr/>
      <w:tab/>
    </w:r>
    <w:r>
      <w:rPr>
        <w:rStyle w:val="SPD"/>
      </w:rPr>
      <w:t>03/20</w:t>
    </w:r>
    <w:r>
      <mc:AlternateContent>
        <mc:Choice Requires="wps">
          <w:drawing>
            <wp:anchor behindDoc="1" distT="0" distB="0" distL="114935" distR="114935" simplePos="0" locked="0" layoutInCell="1" allowOverlap="1" relativeHeight="15">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3/01/20"/>
    <w:docVar w:name="Format" w:val="1"/>
    <w:docVar w:name="MF04" w:val="260011"/>
    <w:docVar w:name="MF95" w:val="26001"/>
    <w:docVar w:name="MFOrigin" w:val="MF04"/>
    <w:docVar w:name="SpecType" w:val="MasterSpec"/>
    <w:docVar w:name="Version" w:val="15346"/>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WW8Num5z0">
    <w:name w:val="WW8Num5z0"/>
    <w:qFormat/>
    <w:rPr>
      <w:rFonts w:ascii="Symbol" w:hAnsi="Symbol" w:cs="Symbol"/>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10z0">
    <w:name w:val="WW8Num10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SAhyperlink">
    <w:name w:val="SAhyperlink"/>
    <w:qFormat/>
    <w:rPr>
      <w:color w:val="E36C0A"/>
      <w:u w:val="single"/>
    </w:rPr>
  </w:style>
  <w:style w:type="character" w:styleId="Hyperlink">
    <w:name w:val="Hyperlink"/>
    <w:rPr>
      <w:color w:val="0000FF"/>
      <w:u w:val="single"/>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PR1Char">
    <w:name w:val="PR1 Char"/>
    <w:qFormat/>
    <w:rPr>
      <w:sz w:val="22"/>
    </w:rPr>
  </w:style>
  <w:style w:type="character" w:styleId="PR2Char">
    <w:name w:val="PR2 Char"/>
    <w:qFormat/>
    <w:rPr>
      <w:sz w:val="22"/>
    </w:rPr>
  </w:style>
  <w:style w:type="character" w:styleId="PRNChar">
    <w:name w:val="PRN Char"/>
    <w:qFormat/>
    <w:rPr>
      <w:sz w:val="22"/>
      <w:shd w:fill="FFFFCC" w:val="clear"/>
    </w:rPr>
  </w:style>
  <w:style w:type="character" w:styleId="BalloonTextChar">
    <w:name w:val="Balloon Text Char"/>
    <w:qFormat/>
    <w:rPr>
      <w:rFonts w:ascii="Tahoma" w:hAnsi="Tahoma" w:cs="Tahoma"/>
      <w:sz w:val="16"/>
      <w:szCs w:val="16"/>
    </w:rPr>
  </w:style>
  <w:style w:type="character" w:styleId="PlainTextChar">
    <w:name w:val="Plain Text Char"/>
    <w:qFormat/>
    <w:rPr>
      <w:rFonts w:ascii="Courier New" w:hAnsi="Courier New" w:cs="Courier New"/>
    </w:rPr>
  </w:style>
  <w:style w:type="character" w:styleId="BodyTextIndentChar">
    <w:name w:val="Body Text Indent Char"/>
    <w:qFormat/>
    <w:rPr>
      <w:sz w:val="22"/>
      <w:szCs w:val="24"/>
    </w:rPr>
  </w:style>
  <w:style w:type="character" w:styleId="CommentReference">
    <w:name w:val="Comment Reference"/>
    <w:qFormat/>
    <w:rPr>
      <w:sz w:val="16"/>
      <w:szCs w:val="16"/>
    </w:rPr>
  </w:style>
  <w:style w:type="character" w:styleId="CommentTextChar">
    <w:name w:val="Comment Text Char"/>
    <w:basedOn w:val="DefaultParagraphFont"/>
    <w:qFormat/>
    <w:rPr/>
  </w:style>
  <w:style w:type="character" w:styleId="CommentSubjectChar">
    <w:name w:val="Comment Subject Char"/>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PRN">
    <w:name w:val="PRN"/>
    <w:basedOn w:val="Normal"/>
    <w:qFormat/>
    <w:pPr>
      <w:pBdr>
        <w:top w:val="single" w:sz="12" w:space="1" w:color="000000" w:shadow="1"/>
        <w:left w:val="single" w:sz="12" w:space="4" w:color="000000" w:shadow="1"/>
        <w:bottom w:val="single" w:sz="12" w:space="1" w:color="000000" w:shadow="1"/>
        <w:right w:val="single" w:sz="12" w:space="4" w:color="000000" w:shadow="1"/>
      </w:pBdr>
      <w:shd w:fill="FFFFCC" w:val="clear"/>
      <w:spacing w:before="240" w:after="0"/>
    </w:pPr>
    <w:rPr/>
  </w:style>
  <w:style w:type="paragraph" w:styleId="DIRCMT">
    <w:name w:val="DIRCMT"/>
    <w:basedOn w:val="CMT"/>
    <w:qFormat/>
    <w:pPr>
      <w:pBdr>
        <w:top w:val="thinThickSmallGap" w:sz="12" w:space="3" w:color="000000"/>
        <w:left w:val="thinThickSmallGap" w:sz="12" w:space="4" w:color="000000"/>
        <w:bottom w:val="thickThinSmallGap" w:sz="12" w:space="3" w:color="000000"/>
        <w:right w:val="thickThinSmallGap" w:sz="12" w:space="4" w:color="000000"/>
      </w:pBdr>
      <w:shd w:fill="CCFFFF" w:val="clear"/>
    </w:pPr>
    <w:rPr>
      <w:rFonts w:ascii="Arial" w:hAnsi="Arial" w:cs="Arial"/>
      <w:b/>
      <w:color w:val="FF0000"/>
      <w:sz w:val="20"/>
      <w:lang w:val="zh-CN"/>
    </w:rPr>
  </w:style>
  <w:style w:type="paragraph" w:styleId="PRNVA">
    <w:name w:val="PRNVA"/>
    <w:basedOn w:val="PRN"/>
    <w:qFormat/>
    <w:pPr>
      <w:pBdr>
        <w:top w:val="double" w:sz="4" w:space="1" w:color="000000" w:shadow="1"/>
        <w:left w:val="double" w:sz="4" w:space="4" w:color="000000" w:shadow="1"/>
        <w:bottom w:val="double" w:sz="4" w:space="1" w:color="000000" w:shadow="1"/>
        <w:right w:val="double" w:sz="4" w:space="4" w:color="000000" w:shadow="1"/>
      </w:pBdr>
      <w:shd w:fill="F9F4FF" w:val="clear"/>
    </w:pPr>
    <w:rPr>
      <w:rFonts w:ascii="Arial" w:hAnsi="Arial" w:cs="Arial"/>
      <w:b/>
    </w:rPr>
  </w:style>
  <w:style w:type="paragraph" w:styleId="BalloonText">
    <w:name w:val="Balloon Text"/>
    <w:basedOn w:val="Normal"/>
    <w:qFormat/>
    <w:pPr/>
    <w:rPr>
      <w:rFonts w:ascii="Tahoma" w:hAnsi="Tahoma" w:cs="Tahoma"/>
      <w:sz w:val="16"/>
      <w:szCs w:val="16"/>
    </w:rPr>
  </w:style>
  <w:style w:type="paragraph" w:styleId="PlainText">
    <w:name w:val="Plain Text"/>
    <w:basedOn w:val="Normal"/>
    <w:qFormat/>
    <w:pPr/>
    <w:rPr>
      <w:rFonts w:ascii="Courier New" w:hAnsi="Courier New" w:cs="Courier New"/>
      <w:sz w:val="20"/>
    </w:rPr>
  </w:style>
  <w:style w:type="paragraph" w:styleId="Example">
    <w:name w:val="Example"/>
    <w:basedOn w:val="PRN"/>
    <w:qFormat/>
    <w:pPr>
      <w:shd w:fill="CCFFFF" w:val="clear"/>
      <w:ind w:hanging="0" w:left="2880" w:right="0"/>
    </w:pPr>
    <w:rPr>
      <w:u w:val="single"/>
    </w:rPr>
  </w:style>
  <w:style w:type="paragraph" w:styleId="BodyTextIndent">
    <w:name w:val="Body Text Indent"/>
    <w:basedOn w:val="Normal"/>
    <w:pPr>
      <w:ind w:hanging="1440" w:left="1440" w:right="0"/>
    </w:pPr>
    <w:rPr>
      <w:szCs w:val="24"/>
    </w:rPr>
  </w:style>
  <w:style w:type="paragraph" w:styleId="CMTNotHidden">
    <w:name w:val="CMT_NotHidden"/>
    <w:basedOn w:val="CMT"/>
    <w:qFormat/>
    <w:pPr/>
    <w:rPr>
      <w:szCs w:val="22"/>
      <w:lang w:val="zh-CN"/>
    </w:rPr>
  </w:style>
  <w:style w:type="paragraph" w:styleId="CommentText">
    <w:name w:val="Comment Text"/>
    <w:basedOn w:val="Normal"/>
    <w:qFormat/>
    <w:pPr/>
    <w:rPr>
      <w:sz w:val="20"/>
    </w:rPr>
  </w:style>
  <w:style w:type="paragraph" w:styleId="CommentSubject">
    <w:name w:val="Comment Subject"/>
    <w:basedOn w:val="CommentText"/>
    <w:next w:val="CommentText"/>
    <w:qFormat/>
    <w:pPr/>
    <w:rPr>
      <w:b/>
      <w:bCs/>
    </w:rPr>
  </w:style>
  <w:style w:type="paragraph" w:styleId="OMN">
    <w:name w:val="OMN"/>
    <w:basedOn w:val="Normal"/>
    <w:qFormat/>
    <w:pPr>
      <w:pBdr>
        <w:top w:val="single" w:sz="8" w:space="1" w:color="000000"/>
        <w:left w:val="single" w:sz="8" w:space="4" w:color="000000"/>
        <w:bottom w:val="single" w:sz="8" w:space="1" w:color="000000"/>
        <w:right w:val="single" w:sz="8" w:space="4" w:color="000000"/>
      </w:pBdr>
      <w:shd w:fill="EFE0FF" w:val="clear"/>
    </w:pPr>
    <w:rPr/>
  </w:style>
  <w:style w:type="paragraph" w:styleId="Revision">
    <w:name w:val="Revision"/>
    <w:qFormat/>
    <w:pPr>
      <w:widowControl/>
      <w:bidi w:val="0"/>
    </w:pPr>
    <w:rPr>
      <w:rFonts w:ascii="Times New Roman" w:hAnsi="Times New Roman" w:eastAsia="Times New Roman" w:cs="Times New Roman"/>
      <w:color w:val="auto"/>
      <w:sz w:val="22"/>
      <w:szCs w:val="20"/>
      <w:lang w:val="en-US" w:bidi="ar-SA" w:eastAsia="zh-CN"/>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260011&amp;ver=03-01-20&amp;format=FL&amp;sid=15346&amp;utm_source=MasterSpec&amp;utm_medium=Word" TargetMode="External"/><Relationship Id="rId3" Type="http://schemas.openxmlformats.org/officeDocument/2006/relationships/header" Target="header1.xml"/><Relationship Id="rId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2022-09-26T03:29:00Z</dcterms:created>
  <dc:creator>Deltek, Inc.</dc:creator>
  <dc:description/>
  <cp:keywords>BAS-12345-MS80</cp:keywords>
  <dc:language>zh-CN</dc:language>
  <cp:lastModifiedBy>Janice Nacional</cp:lastModifiedBy>
  <dcterms:modified xsi:type="dcterms:W3CDTF">2022-09-26T03:29:00Z</dcterms:modified>
  <cp:revision>2</cp:revision>
  <dc:subject>FACILITY PERFORMANCE REQUIREMENTS FOR ELECTRICAL</dc:subject>
  <dc:title>SECTION 260011 - FACILITY PERFORMANCE REQUIREMENTS FOR ELECTRICAL</dc:title>
</cp:coreProperties>
</file>