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261216</w:t>
      </w:r>
      <w:r>
        <w:rPr/>
        <w:t xml:space="preserve"> - </w:t>
      </w:r>
      <w:r>
        <w:rPr>
          <w:rStyle w:val="NAM"/>
        </w:rPr>
        <w:t>DRY-TYPE, MEDIUM-VOLTAGE TRANSFORMERS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Dry-type, medium-voltage transformers, with primary and secondary bushings within or without air-terminal enclosures.</w:t>
      </w:r>
    </w:p>
    <w:p>
      <w:pPr>
        <w:pStyle w:val="PR2"/>
        <w:numPr>
          <w:ilvl w:val="5"/>
          <w:numId w:val="1"/>
        </w:numPr>
        <w:rPr/>
      </w:pPr>
      <w:r>
        <w:rPr/>
        <w:t>Control network.</w:t>
      </w:r>
    </w:p>
    <w:p>
      <w:pPr>
        <w:pStyle w:val="PR2"/>
        <w:numPr>
          <w:ilvl w:val="5"/>
          <w:numId w:val="1"/>
        </w:numPr>
        <w:rPr/>
      </w:pPr>
      <w:r>
        <w:rPr/>
        <w:t>Warning labels and signs.</w:t>
      </w:r>
    </w:p>
    <w:p>
      <w:pPr>
        <w:pStyle w:val="PR1"/>
        <w:numPr>
          <w:ilvl w:val="4"/>
          <w:numId w:val="1"/>
        </w:numPr>
        <w:rPr>
          <w:szCs w:val="22"/>
        </w:rPr>
      </w:pPr>
      <w:r>
        <w:rPr>
          <w:szCs w:val="22"/>
        </w:rPr>
        <w:t>Products Furnished, but Not Installed, under This Section:</w:t>
      </w:r>
    </w:p>
    <w:p>
      <w:pPr>
        <w:pStyle w:val="PR2"/>
        <w:numPr>
          <w:ilvl w:val="5"/>
          <w:numId w:val="1"/>
        </w:numPr>
        <w:spacing w:before="240" w:after="0"/>
        <w:rPr>
          <w:szCs w:val="22"/>
          <w:lang w:val="zh-CN"/>
        </w:rPr>
      </w:pPr>
      <w:r>
        <w:rPr>
          <w:szCs w:val="22"/>
        </w:rPr>
        <w:t>&lt;</w:t>
      </w:r>
      <w:r>
        <w:rPr>
          <w:b/>
          <w:szCs w:val="22"/>
        </w:rPr>
        <w:t>Insert products furnished, but not installed</w:t>
      </w:r>
      <w:r>
        <w:rPr>
          <w:szCs w:val="22"/>
        </w:rPr>
        <w:t>&gt;.</w:t>
      </w:r>
    </w:p>
    <w:p>
      <w:pPr>
        <w:pStyle w:val="PR1"/>
        <w:numPr>
          <w:ilvl w:val="4"/>
          <w:numId w:val="1"/>
        </w:numPr>
        <w:rPr>
          <w:szCs w:val="22"/>
        </w:rPr>
      </w:pPr>
      <w:r>
        <w:rPr>
          <w:szCs w:val="22"/>
        </w:rPr>
        <w:t>Products Installed, but Not Furnished, under This Section:</w:t>
      </w:r>
    </w:p>
    <w:p>
      <w:pPr>
        <w:pStyle w:val="PR2"/>
        <w:numPr>
          <w:ilvl w:val="5"/>
          <w:numId w:val="1"/>
        </w:numPr>
        <w:spacing w:before="240" w:after="0"/>
        <w:rPr>
          <w:szCs w:val="22"/>
          <w:lang w:val="zh-CN"/>
        </w:rPr>
      </w:pPr>
      <w:r>
        <w:rPr>
          <w:szCs w:val="22"/>
        </w:rPr>
        <w:t>&lt;</w:t>
      </w:r>
      <w:r>
        <w:rPr>
          <w:b/>
          <w:szCs w:val="22"/>
          <w:lang w:val="zh-CN"/>
        </w:rPr>
        <w:t>Insert products</w:t>
      </w:r>
      <w:r>
        <w:rPr>
          <w:b/>
          <w:szCs w:val="22"/>
        </w:rPr>
        <w:t xml:space="preserve"> installed, but not furnished</w:t>
      </w:r>
      <w:r>
        <w:rPr>
          <w:szCs w:val="22"/>
        </w:rPr>
        <w:t>&gt;.</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outlineLvl w:val="9"/>
        <w:rPr/>
      </w:pPr>
      <w:r>
        <w:rPr/>
        <w:t>Section 260011 "Facility Performance Requirements for Electrical" for seismic load, wind load, acoustical, and other field conditions applicable to Work specified in this Section.</w:t>
      </w:r>
    </w:p>
    <w:p>
      <w:pPr>
        <w:pStyle w:val="CMT"/>
        <w:rPr>
          <w:szCs w:val="22"/>
        </w:rPr>
      </w:pPr>
      <w:r>
        <w:rPr>
          <w:szCs w:val="22"/>
        </w:rPr>
        <w:t>Retain subparagraph below to cross-reference requirements Contractor might expect to find in this Section but are specified in other Sections.</w:t>
      </w:r>
    </w:p>
    <w:p>
      <w:pPr>
        <w:pStyle w:val="CMT"/>
        <w:rPr>
          <w:szCs w:val="22"/>
        </w:rPr>
      </w:pPr>
      <w:r>
        <w:rPr>
          <w:szCs w:val="22"/>
        </w:rPr>
        <w:t>Retain subparagraph below if retaining "Preinstallation Conference" Paragraph in "Preinstallation Meetings" Article. If Project is using Owner-provided Division 01, revise to indicate location where Owner's conference procedures are specified, or delete subparagraph and specify the conference procedures under "Preinstallation Conference" Paragraph.</w:t>
      </w:r>
    </w:p>
    <w:p>
      <w:pPr>
        <w:pStyle w:val="PR2"/>
        <w:numPr>
          <w:ilvl w:val="5"/>
          <w:numId w:val="1"/>
        </w:numPr>
        <w:rPr/>
      </w:pPr>
      <w:r>
        <w:rPr/>
        <w:t>[</w:t>
      </w:r>
      <w:r>
        <w:rPr>
          <w:b/>
        </w:rPr>
        <w:t>Section 013100 "Project Management and Coordination"</w:t>
      </w:r>
      <w:r>
        <w:rPr/>
        <w:t>] &lt;</w:t>
      </w:r>
      <w:r>
        <w:rPr>
          <w:b/>
        </w:rPr>
        <w:t>Insert Section number and title</w:t>
      </w:r>
      <w:r>
        <w:rPr/>
        <w:t>&gt; for preinstallation conference procedures.</w:t>
      </w:r>
    </w:p>
    <w:p>
      <w:pPr>
        <w:pStyle w:val="ART"/>
        <w:numPr>
          <w:ilvl w:val="3"/>
          <w:numId w:val="1"/>
        </w:numPr>
        <w:ind w:hanging="0" w:left="0"/>
        <w:rPr/>
      </w:pPr>
      <w:r>
        <w:rPr/>
        <w:t>DEFINITIONS</w:t>
      </w:r>
    </w:p>
    <w:p>
      <w:pPr>
        <w:pStyle w:val="CMT"/>
        <w:rPr/>
      </w:pPr>
      <w:r>
        <w:rPr/>
        <w:t>Retain terms that remain after this Section has been edited for a project.</w:t>
      </w:r>
      <w:r>
        <w:rPr>
          <w:szCs w:val="22"/>
        </w:rPr>
        <w:t xml:space="preserve"> Include only essential definitions or acronyms not well understood by the affected industry or trade.</w:t>
      </w:r>
    </w:p>
    <w:p>
      <w:pPr>
        <w:pStyle w:val="PR1"/>
        <w:numPr>
          <w:ilvl w:val="4"/>
          <w:numId w:val="1"/>
        </w:numPr>
        <w:rPr/>
      </w:pPr>
      <w:r>
        <w:rPr/>
        <w:t>VPE: Vacuum Pressure Encapsulation.</w:t>
      </w:r>
    </w:p>
    <w:p>
      <w:pPr>
        <w:pStyle w:val="PR1"/>
        <w:numPr>
          <w:ilvl w:val="4"/>
          <w:numId w:val="1"/>
        </w:numPr>
        <w:rPr/>
      </w:pPr>
      <w:r>
        <w:rPr/>
        <w:t>VPI: Vacuum Pressure Impregnation.</w:t>
      </w:r>
    </w:p>
    <w:p>
      <w:pPr>
        <w:pStyle w:val="ART"/>
        <w:numPr>
          <w:ilvl w:val="3"/>
          <w:numId w:val="1"/>
        </w:numPr>
        <w:ind w:hanging="0" w:left="0"/>
        <w:rPr>
          <w:szCs w:val="22"/>
        </w:rPr>
      </w:pPr>
      <w:r>
        <w:rPr>
          <w:szCs w:val="22"/>
        </w:rPr>
        <w:t>PREINSTALLATION MEETINGS</w:t>
      </w:r>
    </w:p>
    <w:p>
      <w:pPr>
        <w:pStyle w:val="CMT"/>
        <w:rPr/>
      </w:pPr>
      <w:r>
        <w:rPr>
          <w:szCs w:val="22"/>
        </w:rPr>
        <w:t xml:space="preserve">Retain "Preinstallation Conference" Paragraph below if Work of this Section is extensive or complex enough to justify a conference. </w:t>
      </w:r>
      <w:r>
        <w:rPr/>
        <w:t>Coordinate with "Related Requirements" Paragraph in "Summary" Article for location of preinstallation conference procedures.</w:t>
      </w:r>
    </w:p>
    <w:p>
      <w:pPr>
        <w:pStyle w:val="PR1"/>
        <w:numPr>
          <w:ilvl w:val="4"/>
          <w:numId w:val="1"/>
        </w:numPr>
        <w:rPr>
          <w:szCs w:val="22"/>
        </w:rPr>
      </w:pPr>
      <w:r>
        <w:rPr>
          <w:szCs w:val="22"/>
        </w:rPr>
        <w:t>Preinstallation Conference: Conduct conference at [</w:t>
      </w:r>
      <w:r>
        <w:rPr>
          <w:b/>
          <w:bCs/>
          <w:szCs w:val="22"/>
        </w:rPr>
        <w:t>Project site</w:t>
      </w:r>
      <w:r>
        <w:rPr>
          <w:szCs w:val="22"/>
        </w:rPr>
        <w:t>] &lt;</w:t>
      </w:r>
      <w:r>
        <w:rPr>
          <w:b/>
          <w:szCs w:val="22"/>
        </w:rPr>
        <w:t>Insert location</w:t>
      </w:r>
      <w:r>
        <w:rPr>
          <w:szCs w:val="22"/>
        </w:rPr>
        <w:t>&gt;.</w:t>
      </w:r>
    </w:p>
    <w:p>
      <w:pPr>
        <w:pStyle w:val="CMT"/>
        <w:rPr/>
      </w:pPr>
      <w:r>
        <w:rPr/>
        <w:t>Retain "Preinstallation Coordination Meeting(s)" Paragraph below if Work of this Section does not justify a full preinstallation conference as specified in Section 013100 "Project Management and Coordination," but would benefit from a smaller coordination meeting. Consider videoconference option if Project requires social distancing for meetings for infection control.</w:t>
      </w:r>
    </w:p>
    <w:p>
      <w:pPr>
        <w:pStyle w:val="PR1"/>
        <w:numPr>
          <w:ilvl w:val="4"/>
          <w:numId w:val="1"/>
        </w:numPr>
        <w:rPr/>
      </w:pPr>
      <w:r>
        <w:rPr/>
        <w:t>Preinstallation Coordination Meeting(s): For dry-type, medium-voltage transformers. Conduct meeting(s) [</w:t>
      </w:r>
      <w:r>
        <w:rPr>
          <w:b/>
        </w:rPr>
        <w:t>as videoconference</w:t>
      </w:r>
      <w:r>
        <w:rPr/>
        <w:t>] [</w:t>
      </w:r>
      <w:r>
        <w:rPr>
          <w:b/>
        </w:rPr>
        <w:t>or</w:t>
      </w:r>
      <w:r>
        <w:rPr/>
        <w:t>] [</w:t>
      </w:r>
      <w:r>
        <w:rPr>
          <w:b/>
        </w:rPr>
        <w:t xml:space="preserve">at </w:t>
      </w:r>
      <w:r>
        <w:rPr>
          <w:b/>
          <w:bCs/>
        </w:rPr>
        <w:t>Project site</w:t>
      </w:r>
      <w:r>
        <w:rPr/>
        <w:t>] &lt;</w:t>
      </w:r>
      <w:r>
        <w:rPr>
          <w:b/>
        </w:rPr>
        <w:t>Insert location</w:t>
      </w:r>
      <w:r>
        <w:rPr/>
        <w:t>&gt; before &lt;</w:t>
      </w:r>
      <w:r>
        <w:rPr>
          <w:b/>
        </w:rPr>
        <w:t>Insert construction activity</w:t>
      </w:r>
      <w:r>
        <w:rPr/>
        <w:t>&gt;.</w:t>
      </w:r>
    </w:p>
    <w:p>
      <w:pPr>
        <w:pStyle w:val="PR2"/>
        <w:numPr>
          <w:ilvl w:val="5"/>
          <w:numId w:val="1"/>
        </w:numPr>
        <w:spacing w:before="240" w:after="0"/>
        <w:rPr/>
      </w:pPr>
      <w:r>
        <w:rPr/>
        <w:t>Attendees: Installers, fabricators, representatives of manufacturers, and administrants for field tests and inspections. Notify Architect[</w:t>
      </w:r>
      <w:r>
        <w:rPr>
          <w:b/>
        </w:rPr>
        <w:t>, Construction Manager</w:t>
      </w:r>
      <w:r>
        <w:rPr/>
        <w:t>] [</w:t>
      </w:r>
      <w:r>
        <w:rPr>
          <w:b/>
        </w:rPr>
        <w:t>, and Owner's Commissioning Authority</w:t>
      </w:r>
      <w:r>
        <w:rPr/>
        <w:t>] of scheduled meeting dates.</w:t>
      </w:r>
    </w:p>
    <w:p>
      <w:pPr>
        <w:pStyle w:val="ART"/>
        <w:numPr>
          <w:ilvl w:val="3"/>
          <w:numId w:val="1"/>
        </w:numPr>
        <w:ind w:hanging="0" w:left="0"/>
        <w:rPr/>
      </w:pPr>
      <w:r>
        <w:rPr/>
        <w:t>ACTION SUBMITTALS</w:t>
      </w:r>
    </w:p>
    <w:p>
      <w:pPr>
        <w:pStyle w:val="CMT"/>
        <w:rPr>
          <w:szCs w:val="22"/>
        </w:rPr>
      </w:pPr>
      <w:r>
        <w:rPr>
          <w:szCs w:val="22"/>
        </w:rPr>
        <w:t>Action submittals are submittals requiring responsive action and return of reviewed documents to Contractor.</w:t>
      </w:r>
    </w:p>
    <w:p>
      <w:pPr>
        <w:pStyle w:val="PR1"/>
        <w:numPr>
          <w:ilvl w:val="4"/>
          <w:numId w:val="1"/>
        </w:numPr>
        <w:rPr/>
      </w:pPr>
      <w:r>
        <w:rPr/>
        <w:t xml:space="preserve">Product Data: </w:t>
      </w:r>
    </w:p>
    <w:p>
      <w:pPr>
        <w:pStyle w:val="PR2"/>
        <w:numPr>
          <w:ilvl w:val="5"/>
          <w:numId w:val="1"/>
        </w:numPr>
        <w:spacing w:before="240" w:after="0"/>
        <w:rPr/>
      </w:pPr>
      <w:r>
        <w:rPr/>
        <w:t>For each type of product.</w:t>
      </w:r>
    </w:p>
    <w:p>
      <w:pPr>
        <w:pStyle w:val="PR3"/>
        <w:numPr>
          <w:ilvl w:val="6"/>
          <w:numId w:val="1"/>
        </w:numPr>
        <w:spacing w:before="240" w:after="0"/>
        <w:rPr/>
      </w:pPr>
      <w:r>
        <w:rPr/>
        <w:t>Include rated capacities, operating characteristics, and furnished specialties and accessories.</w:t>
      </w:r>
    </w:p>
    <w:p>
      <w:pPr>
        <w:pStyle w:val="PR1"/>
        <w:numPr>
          <w:ilvl w:val="4"/>
          <w:numId w:val="1"/>
        </w:numPr>
        <w:rPr/>
      </w:pPr>
      <w:r>
        <w:rPr/>
        <w:t xml:space="preserve">Shop Drawings: </w:t>
      </w:r>
    </w:p>
    <w:p>
      <w:pPr>
        <w:pStyle w:val="PR2"/>
        <w:numPr>
          <w:ilvl w:val="5"/>
          <w:numId w:val="1"/>
        </w:numPr>
        <w:spacing w:before="240" w:after="0"/>
        <w:rPr/>
      </w:pPr>
      <w:r>
        <w:rPr/>
        <w:t>For dry-type, medium-voltage transformers.</w:t>
      </w:r>
    </w:p>
    <w:p>
      <w:pPr>
        <w:pStyle w:val="PR3"/>
        <w:numPr>
          <w:ilvl w:val="6"/>
          <w:numId w:val="1"/>
        </w:numPr>
        <w:spacing w:before="240" w:after="0"/>
        <w:rPr/>
      </w:pPr>
      <w:r>
        <w:rPr/>
        <w:t>Include plans and elevations showing major components and features.</w:t>
      </w:r>
    </w:p>
    <w:p>
      <w:pPr>
        <w:pStyle w:val="PR4"/>
        <w:numPr>
          <w:ilvl w:val="7"/>
          <w:numId w:val="1"/>
        </w:numPr>
        <w:spacing w:before="240" w:after="0"/>
        <w:rPr/>
      </w:pPr>
      <w:r>
        <w:rPr/>
        <w:t>Include plan view and cross section of equipment base, showing clearances, manufacturer's recommended workspace, and locations of penetrations for grounding and conduits.</w:t>
      </w:r>
    </w:p>
    <w:p>
      <w:pPr>
        <w:pStyle w:val="PR3"/>
        <w:numPr>
          <w:ilvl w:val="6"/>
          <w:numId w:val="1"/>
        </w:numPr>
        <w:spacing w:before="240" w:after="0"/>
        <w:rPr/>
      </w:pPr>
      <w:r>
        <w:rPr/>
        <w:t>Include details of equipment assemblies and indicate dimensions, weights, loads, required clearances, method of field assembly, components, and location and size of field connections.</w:t>
      </w:r>
    </w:p>
    <w:p>
      <w:pPr>
        <w:pStyle w:val="PR3"/>
        <w:numPr>
          <w:ilvl w:val="6"/>
          <w:numId w:val="1"/>
        </w:numPr>
        <w:rPr/>
      </w:pPr>
      <w:r>
        <w:rPr/>
        <w:t>Include single-line diagram.</w:t>
      </w:r>
    </w:p>
    <w:p>
      <w:pPr>
        <w:pStyle w:val="PR3"/>
        <w:numPr>
          <w:ilvl w:val="6"/>
          <w:numId w:val="1"/>
        </w:numPr>
        <w:rPr/>
      </w:pPr>
      <w:r>
        <w:rPr/>
        <w:t>Include list of materials.</w:t>
      </w:r>
    </w:p>
    <w:p>
      <w:pPr>
        <w:pStyle w:val="PR3"/>
        <w:numPr>
          <w:ilvl w:val="6"/>
          <w:numId w:val="1"/>
        </w:numPr>
        <w:rPr/>
      </w:pPr>
      <w:r>
        <w:rPr/>
        <w:t>Include nameplate legends.</w:t>
      </w:r>
    </w:p>
    <w:p>
      <w:pPr>
        <w:pStyle w:val="CMT"/>
        <w:rPr/>
      </w:pPr>
      <w:r>
        <w:rPr/>
        <w:t>Retain "Field Quality-Control Submittals" Paragraph below if Contractor is responsible for field quality-control testing and inspecting.</w:t>
      </w:r>
    </w:p>
    <w:p>
      <w:pPr>
        <w:pStyle w:val="PR1"/>
        <w:numPr>
          <w:ilvl w:val="4"/>
          <w:numId w:val="1"/>
        </w:numPr>
        <w:rPr/>
      </w:pPr>
      <w:r>
        <w:rPr/>
        <w:t>Field Quality-Control Submittals:</w:t>
      </w:r>
    </w:p>
    <w:p>
      <w:pPr>
        <w:pStyle w:val="PR2"/>
        <w:numPr>
          <w:ilvl w:val="5"/>
          <w:numId w:val="1"/>
        </w:numPr>
        <w:spacing w:before="240" w:after="0"/>
        <w:rPr/>
      </w:pPr>
      <w:r>
        <w:rPr/>
        <w:t>Field quality-control reports.</w:t>
      </w:r>
    </w:p>
    <w:p>
      <w:pPr>
        <w:pStyle w:val="ART"/>
        <w:numPr>
          <w:ilvl w:val="3"/>
          <w:numId w:val="1"/>
        </w:numPr>
        <w:ind w:hanging="0" w:left="0"/>
        <w:rPr/>
      </w:pPr>
      <w:r>
        <w:rPr/>
        <w:t>INFORMATIONAL SUBMITTALS</w:t>
      </w:r>
    </w:p>
    <w:p>
      <w:pPr>
        <w:pStyle w:val="CMT"/>
        <w:rPr>
          <w:szCs w:val="22"/>
        </w:rPr>
      </w:pPr>
      <w:r>
        <w:rPr>
          <w:szCs w:val="22"/>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Product Certificates: For transformers, signed by product manufacturer.</w:t>
      </w:r>
    </w:p>
    <w:p>
      <w:pPr>
        <w:pStyle w:val="PR1"/>
        <w:numPr>
          <w:ilvl w:val="4"/>
          <w:numId w:val="1"/>
        </w:numPr>
        <w:rPr/>
      </w:pPr>
      <w:r>
        <w:rPr/>
        <w:t>Source quality-control reports.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keepNext w:val="false"/>
        <w:numPr>
          <w:ilvl w:val="3"/>
          <w:numId w:val="1"/>
        </w:numPr>
        <w:ind w:hanging="0" w:left="0"/>
        <w:rPr/>
      </w:pPr>
      <w:r>
        <w:rPr/>
        <w:t>OWNER-FURNISHED PRODUCTS</w:t>
      </w:r>
    </w:p>
    <w:p>
      <w:pPr>
        <w:pStyle w:val="PR1"/>
        <w:numPr>
          <w:ilvl w:val="4"/>
          <w:numId w:val="1"/>
        </w:numPr>
        <w:rPr/>
      </w:pPr>
      <w:r>
        <w:rPr/>
        <w:t>Basis for Pricing: &lt;</w:t>
      </w:r>
      <w:r>
        <w:rPr>
          <w:b/>
        </w:rPr>
        <w:t>Insert name of manufacturer; model number or series for product that Owner intends to furnish to Contractor</w:t>
      </w:r>
      <w:r>
        <w:rPr/>
        <w:t>&gt;.</w:t>
      </w:r>
    </w:p>
    <w:p>
      <w:pPr>
        <w:pStyle w:val="PR1"/>
        <w:numPr>
          <w:ilvl w:val="4"/>
          <w:numId w:val="1"/>
        </w:numPr>
        <w:rPr/>
      </w:pPr>
      <w:r>
        <w:rPr/>
        <w:t>Description: &lt;</w:t>
      </w:r>
      <w:r>
        <w:rPr>
          <w:b/>
        </w:rPr>
        <w:t>Insert description of product, including special features, options, and finishes for Owner-furnished product that may impact Contractor's installation</w:t>
      </w:r>
      <w:r>
        <w:rPr/>
        <w:t>&gt;.</w:t>
      </w:r>
    </w:p>
    <w:p>
      <w:pPr>
        <w:pStyle w:val="PR1"/>
        <w:numPr>
          <w:ilvl w:val="4"/>
          <w:numId w:val="1"/>
        </w:numPr>
        <w:rPr/>
      </w:pPr>
      <w:r>
        <w:rPr/>
        <w:t>Accessories: &lt;</w:t>
      </w:r>
      <w:r>
        <w:rPr>
          <w:b/>
        </w:rPr>
        <w:t>Insert accessories that will be provided with product</w:t>
      </w:r>
      <w:r>
        <w:rPr/>
        <w:t>&gt;.</w:t>
      </w:r>
    </w:p>
    <w:p>
      <w:pPr>
        <w:pStyle w:val="ART"/>
        <w:keepNext w:val="false"/>
        <w:numPr>
          <w:ilvl w:val="3"/>
          <w:numId w:val="1"/>
        </w:numPr>
        <w:ind w:hanging="0" w:left="0"/>
        <w:rPr/>
      </w:pPr>
      <w:r>
        <w:rPr/>
        <w:t>EXISTING PRODUCTS[</w:t>
      </w:r>
      <w:r>
        <w:rPr>
          <w:b/>
        </w:rPr>
        <w:t> TO BE MODIFIED</w:t>
      </w:r>
      <w:r>
        <w:rPr/>
        <w:t>] [</w:t>
      </w:r>
      <w:r>
        <w:rPr>
          <w:b/>
        </w:rPr>
        <w:t> TO BE REMOVED AND RE</w:t>
        <w:noBreakHyphen/>
        <w:t>INSTALLED</w:t>
      </w:r>
      <w:r>
        <w:rPr/>
        <w:t>]</w:t>
      </w:r>
    </w:p>
    <w:p>
      <w:pPr>
        <w:pStyle w:val="PR1"/>
        <w:numPr>
          <w:ilvl w:val="4"/>
          <w:numId w:val="1"/>
        </w:numPr>
        <w:rPr/>
      </w:pPr>
      <w:r>
        <w:rPr/>
        <w:t>Basis for Pricing: &lt;</w:t>
      </w:r>
      <w:r>
        <w:rPr>
          <w:b/>
        </w:rPr>
        <w:t>Insert name of manufacturer; model number or series for existing product</w:t>
      </w:r>
      <w:r>
        <w:rPr/>
        <w:t>&gt;.</w:t>
      </w:r>
    </w:p>
    <w:p>
      <w:pPr>
        <w:pStyle w:val="PR1"/>
        <w:numPr>
          <w:ilvl w:val="4"/>
          <w:numId w:val="1"/>
        </w:numPr>
        <w:rPr/>
      </w:pPr>
      <w:r>
        <w:rPr/>
        <w:t>Description: &lt;</w:t>
      </w:r>
      <w:r>
        <w:rPr>
          <w:b/>
        </w:rPr>
        <w:t>Insert description of existing product, including special features, options, and finishes that may impact Work</w:t>
      </w:r>
      <w:r>
        <w:rPr/>
        <w:t>&gt;.</w:t>
      </w:r>
    </w:p>
    <w:p>
      <w:pPr>
        <w:pStyle w:val="PR1"/>
        <w:numPr>
          <w:ilvl w:val="4"/>
          <w:numId w:val="1"/>
        </w:numPr>
        <w:rPr/>
      </w:pPr>
      <w:r>
        <w:rPr/>
        <w:t>Accessories: &lt;</w:t>
      </w:r>
      <w:r>
        <w:rPr>
          <w:b/>
        </w:rPr>
        <w:t>Insert accessories included with existing product</w:t>
      </w:r>
      <w:r>
        <w:rPr/>
        <w:t>&gt;.</w:t>
      </w:r>
    </w:p>
    <w:p>
      <w:pPr>
        <w:pStyle w:val="ART"/>
        <w:numPr>
          <w:ilvl w:val="3"/>
          <w:numId w:val="1"/>
        </w:numPr>
        <w:ind w:hanging="0" w:left="0"/>
        <w:rPr/>
      </w:pPr>
      <w:r>
        <w:rPr/>
        <w:t>MANUFACTURERS</w:t>
      </w:r>
    </w:p>
    <w:p>
      <w:pPr>
        <w:pStyle w:val="PR1"/>
        <w:numPr>
          <w:ilvl w:val="4"/>
          <w:numId w:val="1"/>
        </w:numPr>
        <w:rPr/>
      </w:pPr>
      <w:hyperlink r:id="rId3">
        <w:r>
          <w:rPr>
            <w:rStyle w:val="Hyperlink"/>
          </w:rPr>
          <w:t>&lt;Double click here to find, evaluate, and insert list of manufacturers and products.&gt;</w:t>
        </w:r>
      </w:hyperlink>
    </w:p>
    <w:p>
      <w:pPr>
        <w:pStyle w:val="ART"/>
        <w:numPr>
          <w:ilvl w:val="3"/>
          <w:numId w:val="1"/>
        </w:numPr>
        <w:ind w:hanging="0" w:left="0"/>
        <w:rPr/>
      </w:pPr>
      <w:r>
        <w:rPr/>
        <w:t>SYSTEM DESCRIPTION</w:t>
      </w:r>
    </w:p>
    <w:p>
      <w:pPr>
        <w:pStyle w:val="CMT"/>
        <w:rPr/>
      </w:pPr>
      <w:r>
        <w:rPr/>
        <w:t>Retain NFPA 70 compliance required in "Electrical Components, Devices, and Accessories" Paragraph below when transformer is installed pursuant to conditions listed in NFPA 70 for dry-type, medium-voltage transformers.</w:t>
      </w:r>
    </w:p>
    <w:p>
      <w:pPr>
        <w:pStyle w:val="PR1"/>
        <w:numPr>
          <w:ilvl w:val="4"/>
          <w:numId w:val="1"/>
        </w:numPr>
        <w:rPr/>
      </w:pPr>
      <w:r>
        <w:rPr/>
        <w:t>Electrical Components, Devices, and Accessories: Listed and labeled in accordance with NFPA 70, by qualified electrical testing laboratory recognized by authorities having jurisdiction, and marked for intended location and application.</w:t>
      </w:r>
    </w:p>
    <w:p>
      <w:pPr>
        <w:pStyle w:val="PR1"/>
        <w:numPr>
          <w:ilvl w:val="4"/>
          <w:numId w:val="1"/>
        </w:numPr>
        <w:rPr/>
      </w:pPr>
      <w:r>
        <w:rPr/>
        <w:t>Comply with IEEE C2.</w:t>
      </w:r>
    </w:p>
    <w:p>
      <w:pPr>
        <w:pStyle w:val="PR1"/>
        <w:numPr>
          <w:ilvl w:val="4"/>
          <w:numId w:val="1"/>
        </w:numPr>
        <w:rPr/>
      </w:pPr>
      <w:r>
        <w:rPr/>
        <w:t>Comply with IEEE C57.12.01.</w:t>
      </w:r>
    </w:p>
    <w:p>
      <w:pPr>
        <w:pStyle w:val="ART"/>
        <w:numPr>
          <w:ilvl w:val="3"/>
          <w:numId w:val="1"/>
        </w:numPr>
        <w:ind w:hanging="0" w:left="0"/>
        <w:rPr/>
      </w:pPr>
      <w:r>
        <w:rPr/>
        <w:t>PERFORMANCE REQUIREMENTS</w:t>
      </w:r>
    </w:p>
    <w:p>
      <w:pPr>
        <w:pStyle w:val="PR1"/>
        <w:numPr>
          <w:ilvl w:val="4"/>
          <w:numId w:val="1"/>
        </w:numPr>
        <w:rPr/>
      </w:pPr>
      <w:r>
        <w:rPr/>
        <w:t>Windings Material: [</w:t>
      </w:r>
      <w:r>
        <w:rPr>
          <w:b/>
        </w:rPr>
        <w:t>Aluminum</w:t>
      </w:r>
      <w:r>
        <w:rPr/>
        <w:t>] [</w:t>
      </w:r>
      <w:r>
        <w:rPr>
          <w:b/>
        </w:rPr>
        <w:t>Copper</w:t>
      </w:r>
      <w:r>
        <w:rPr/>
        <w:t>].</w:t>
      </w:r>
    </w:p>
    <w:p>
      <w:pPr>
        <w:pStyle w:val="CMT"/>
        <w:rPr/>
      </w:pPr>
      <w:r>
        <w:rPr/>
        <w:t>See Editing Instruction No. 1 in the Evaluations for guidance on retaining "Surge Arresters" Paragraph below.</w:t>
      </w:r>
    </w:p>
    <w:p>
      <w:pPr>
        <w:pStyle w:val="PR1"/>
        <w:numPr>
          <w:ilvl w:val="4"/>
          <w:numId w:val="1"/>
        </w:numPr>
        <w:rPr/>
      </w:pPr>
      <w:r>
        <w:rPr/>
        <w:t>Surge Arresters: Comply with IEEE C62.11, Distribution Class; metal-oxide-varistor type, connected in each phase of incoming circuit and ahead of disconnecting device.</w:t>
      </w:r>
    </w:p>
    <w:p>
      <w:pPr>
        <w:pStyle w:val="PR1"/>
        <w:numPr>
          <w:ilvl w:val="4"/>
          <w:numId w:val="1"/>
        </w:numPr>
        <w:rPr/>
      </w:pPr>
      <w:r>
        <w:rPr/>
        <w:t>Cooling Systems: Comply with IEEE C57.12.01 for cooling class.</w:t>
      </w:r>
    </w:p>
    <w:p>
      <w:pPr>
        <w:pStyle w:val="CMT"/>
        <w:rPr/>
      </w:pPr>
      <w:r>
        <w:rPr/>
        <w:t>Retain "Self-Cooled Rating, Class (Insert letters)," "Future Forced-Air-Cooled Rating, Class (Insert letters)," or "Forced-Air-Cooled Rating, Class (Insert letters)" Subparagraph below. See the Evaluations for an explanation of the letters that indicate cooling system class as well as list of standard kVA sizes.</w:t>
      </w:r>
    </w:p>
    <w:p>
      <w:pPr>
        <w:pStyle w:val="PR2"/>
        <w:numPr>
          <w:ilvl w:val="5"/>
          <w:numId w:val="1"/>
        </w:numPr>
        <w:spacing w:before="240" w:after="0"/>
        <w:rPr/>
      </w:pPr>
      <w:r>
        <w:rPr/>
        <w:t>Self-Cooled Rating, Class &lt;</w:t>
      </w:r>
      <w:r>
        <w:rPr>
          <w:b/>
        </w:rPr>
        <w:t>Insert letters</w:t>
      </w:r>
      <w:r>
        <w:rPr/>
        <w:t>&gt;: &lt;</w:t>
      </w:r>
      <w:r>
        <w:rPr>
          <w:b/>
        </w:rPr>
        <w:t>Insert number</w:t>
      </w:r>
      <w:r>
        <w:rPr/>
        <w:t>&gt; kVA.</w:t>
      </w:r>
    </w:p>
    <w:p>
      <w:pPr>
        <w:pStyle w:val="CMT"/>
        <w:rPr/>
      </w:pPr>
      <w:r>
        <w:rPr/>
        <w:t>Future forced-air cooling is typically available for transformers 300 kVA and larger.</w:t>
      </w:r>
    </w:p>
    <w:p>
      <w:pPr>
        <w:pStyle w:val="PR2"/>
        <w:numPr>
          <w:ilvl w:val="5"/>
          <w:numId w:val="1"/>
        </w:numPr>
        <w:rPr/>
      </w:pPr>
      <w:r>
        <w:rPr/>
        <w:t>Future Forced-Air-Cooled Rating, Class &lt;</w:t>
      </w:r>
      <w:r>
        <w:rPr>
          <w:b/>
        </w:rPr>
        <w:t>Insert letters</w:t>
      </w:r>
      <w:r>
        <w:rPr/>
        <w:t>&gt;:</w:t>
      </w:r>
    </w:p>
    <w:p>
      <w:pPr>
        <w:pStyle w:val="PR3"/>
        <w:numPr>
          <w:ilvl w:val="6"/>
          <w:numId w:val="1"/>
        </w:numPr>
        <w:spacing w:before="240" w:after="0"/>
        <w:rPr/>
      </w:pPr>
      <w:r>
        <w:rPr/>
        <w:t>Self-Cooled: &lt;</w:t>
      </w:r>
      <w:r>
        <w:rPr>
          <w:b/>
        </w:rPr>
        <w:t>Insert number</w:t>
      </w:r>
      <w:r>
        <w:rPr/>
        <w:t>&gt; kVA.</w:t>
      </w:r>
    </w:p>
    <w:p>
      <w:pPr>
        <w:pStyle w:val="PR3"/>
        <w:numPr>
          <w:ilvl w:val="6"/>
          <w:numId w:val="1"/>
        </w:numPr>
        <w:rPr/>
      </w:pPr>
      <w:r>
        <w:rPr/>
        <w:t>Forced-Air Cooled: &lt;</w:t>
      </w:r>
      <w:r>
        <w:rPr>
          <w:b/>
        </w:rPr>
        <w:t>Insert number</w:t>
      </w:r>
      <w:r>
        <w:rPr/>
        <w:t>&gt; kVA.</w:t>
      </w:r>
    </w:p>
    <w:p>
      <w:pPr>
        <w:pStyle w:val="PR3"/>
        <w:numPr>
          <w:ilvl w:val="6"/>
          <w:numId w:val="1"/>
        </w:numPr>
        <w:rPr/>
      </w:pPr>
      <w:r>
        <w:rPr/>
        <w:t>Make provision for future addition of forced-air-cooling equipment. Transformer bushings, leads, and related components must be sized for future equipment. Provide fan mounts, conduit supports, and terminal boxes.</w:t>
      </w:r>
    </w:p>
    <w:p>
      <w:pPr>
        <w:pStyle w:val="PR2"/>
        <w:numPr>
          <w:ilvl w:val="5"/>
          <w:numId w:val="1"/>
        </w:numPr>
        <w:spacing w:before="240" w:after="0"/>
        <w:rPr/>
      </w:pPr>
      <w:r>
        <w:rPr/>
        <w:t>Forced-Air-Cooled Rating, Class &lt;</w:t>
      </w:r>
      <w:r>
        <w:rPr>
          <w:b/>
        </w:rPr>
        <w:t>Insert letters</w:t>
      </w:r>
      <w:r>
        <w:rPr/>
        <w:t>&gt;:</w:t>
      </w:r>
    </w:p>
    <w:p>
      <w:pPr>
        <w:pStyle w:val="PR3"/>
        <w:numPr>
          <w:ilvl w:val="6"/>
          <w:numId w:val="1"/>
        </w:numPr>
        <w:spacing w:before="240" w:after="0"/>
        <w:rPr/>
      </w:pPr>
      <w:r>
        <w:rPr/>
        <w:t>Self-Cooled: &lt;</w:t>
      </w:r>
      <w:r>
        <w:rPr>
          <w:b/>
        </w:rPr>
        <w:t>Insert number</w:t>
      </w:r>
      <w:r>
        <w:rPr/>
        <w:t>&gt; kVA.</w:t>
      </w:r>
    </w:p>
    <w:p>
      <w:pPr>
        <w:pStyle w:val="PR3"/>
        <w:numPr>
          <w:ilvl w:val="6"/>
          <w:numId w:val="1"/>
        </w:numPr>
        <w:rPr/>
      </w:pPr>
      <w:r>
        <w:rPr/>
        <w:t>Forced-Air Cooled: &lt;</w:t>
      </w:r>
      <w:r>
        <w:rPr>
          <w:b/>
        </w:rPr>
        <w:t>Insert number</w:t>
      </w:r>
      <w:r>
        <w:rPr/>
        <w:t>&gt; kVA.</w:t>
      </w:r>
    </w:p>
    <w:p>
      <w:pPr>
        <w:pStyle w:val="PR3"/>
        <w:numPr>
          <w:ilvl w:val="6"/>
          <w:numId w:val="1"/>
        </w:numPr>
        <w:rPr/>
      </w:pPr>
      <w:r>
        <w:rPr/>
        <w:t>Equip with forced-air-cooling equipment, including fans, conduit, wiring, motor controllers, and thermometer with alarm contacts for fan control.</w:t>
      </w:r>
    </w:p>
    <w:p>
      <w:pPr>
        <w:pStyle w:val="PR3"/>
        <w:numPr>
          <w:ilvl w:val="6"/>
          <w:numId w:val="1"/>
        </w:numPr>
        <w:rPr/>
      </w:pPr>
      <w:r>
        <w:rPr/>
        <w:t>Forced-air cooling must be regulated automatically by sensors placed in load-side winding's air ducts. Forced-air cooling must include three-phase electronic digital temperature monitor, fans, control wiring, control panel with test switch, indicating lights, alarm, and alarm silencing switch.[</w:t>
      </w:r>
      <w:r>
        <w:rPr>
          <w:b/>
        </w:rPr>
        <w:t> Connect to control network.</w:t>
      </w:r>
      <w:r>
        <w:rPr/>
        <w:t>]</w:t>
      </w:r>
    </w:p>
    <w:p>
      <w:pPr>
        <w:pStyle w:val="PR1"/>
        <w:numPr>
          <w:ilvl w:val="4"/>
          <w:numId w:val="1"/>
        </w:numPr>
        <w:rPr/>
      </w:pPr>
      <w:r>
        <w:rPr/>
        <w:t>Coils Insulation Systems:</w:t>
      </w:r>
    </w:p>
    <w:p>
      <w:pPr>
        <w:pStyle w:val="CMT"/>
        <w:rPr/>
      </w:pPr>
      <w:r>
        <w:rPr/>
        <w:t>Retain one of three subparagraphs below.</w:t>
      </w:r>
    </w:p>
    <w:p>
      <w:pPr>
        <w:pStyle w:val="PR2"/>
        <w:numPr>
          <w:ilvl w:val="5"/>
          <w:numId w:val="1"/>
        </w:numPr>
        <w:spacing w:before="240" w:after="0"/>
        <w:rPr/>
      </w:pPr>
      <w:r>
        <w:rPr/>
        <w:t>Primary and secondary coil assemblies must be manufactured using polyester VPI system.</w:t>
      </w:r>
    </w:p>
    <w:p>
      <w:pPr>
        <w:pStyle w:val="PR2"/>
        <w:numPr>
          <w:ilvl w:val="5"/>
          <w:numId w:val="1"/>
        </w:numPr>
        <w:rPr/>
      </w:pPr>
      <w:r>
        <w:rPr/>
        <w:t>Primary and secondary coil assemblies must be manufactured using silicone resin VPE system.</w:t>
      </w:r>
    </w:p>
    <w:p>
      <w:pPr>
        <w:pStyle w:val="PR2"/>
        <w:numPr>
          <w:ilvl w:val="5"/>
          <w:numId w:val="1"/>
        </w:numPr>
        <w:rPr/>
      </w:pPr>
      <w:r>
        <w:rPr/>
        <w:t>Primary coil assembly must be manufactured using &lt;</w:t>
      </w:r>
      <w:r>
        <w:rPr>
          <w:b/>
        </w:rPr>
        <w:t>Insert system description</w:t>
      </w:r>
      <w:r>
        <w:rPr/>
        <w:t>&gt;. Secondary coil assembly must be manufactured using &lt;</w:t>
      </w:r>
      <w:r>
        <w:rPr>
          <w:b/>
        </w:rPr>
        <w:t>Insert system description</w:t>
      </w:r>
      <w:r>
        <w:rPr/>
        <w:t>&gt;.</w:t>
      </w:r>
    </w:p>
    <w:p>
      <w:pPr>
        <w:pStyle w:val="PR1"/>
        <w:numPr>
          <w:ilvl w:val="4"/>
          <w:numId w:val="1"/>
        </w:numPr>
        <w:rPr/>
      </w:pPr>
      <w:r>
        <w:rPr/>
        <w:t>Winding Connections: Connection of windings and terminal markings must comply with IEEE C57.12.70.</w:t>
      </w:r>
    </w:p>
    <w:p>
      <w:pPr>
        <w:pStyle w:val="CMT"/>
        <w:rPr/>
      </w:pPr>
      <w:r>
        <w:rPr/>
        <w:t>Retain "Efficiency" Paragraph below unless efficiencies higher than minimum are required. If Project requires transformers with different efficiencies, delete "Efficiency" Paragraph and add to schedule on Drawings or to "Capacities and Characteristics" Paragraph. See the Evaluations for discussion of transformer efficiency and life-cycle cost consideration.</w:t>
      </w:r>
    </w:p>
    <w:p>
      <w:pPr>
        <w:pStyle w:val="PR1"/>
        <w:numPr>
          <w:ilvl w:val="4"/>
          <w:numId w:val="1"/>
        </w:numPr>
        <w:rPr/>
      </w:pPr>
      <w:r>
        <w:rPr/>
        <w:t>Efficiency: Comply with 10 CFR 431, Subpart K.</w:t>
      </w:r>
    </w:p>
    <w:p>
      <w:pPr>
        <w:pStyle w:val="PR1"/>
        <w:numPr>
          <w:ilvl w:val="4"/>
          <w:numId w:val="1"/>
        </w:numPr>
        <w:rPr/>
      </w:pPr>
      <w:r>
        <w:rPr/>
        <w:t>Bushings must comply with IEEE C57.19.01 requirements for impulse and low-frequency insulation levels.</w:t>
      </w:r>
    </w:p>
    <w:p>
      <w:pPr>
        <w:pStyle w:val="PR1"/>
        <w:numPr>
          <w:ilvl w:val="4"/>
          <w:numId w:val="1"/>
        </w:numPr>
        <w:rPr/>
      </w:pPr>
      <w:r>
        <w:rPr/>
        <w:t>Tap Changer: External, for de-energized operation.</w:t>
      </w:r>
    </w:p>
    <w:p>
      <w:pPr>
        <w:pStyle w:val="CMT"/>
        <w:rPr/>
      </w:pPr>
      <w:r>
        <w:rPr/>
        <w:t>Retain "Taps" Subparagraph below if a de-energized tap changer is required. See Editing Instruction No. 3 in the Evaluations for tap configurations that are available to comply with other voltage-adjustment requirements.</w:t>
      </w:r>
    </w:p>
    <w:p>
      <w:pPr>
        <w:pStyle w:val="PR2"/>
        <w:numPr>
          <w:ilvl w:val="5"/>
          <w:numId w:val="1"/>
        </w:numPr>
        <w:spacing w:before="240" w:after="0"/>
        <w:rPr/>
      </w:pPr>
      <w:r>
        <w:rPr/>
        <w:t>Taps: Two 2-1/2 percent, full-capacity taps above and two 2-1/2 percent, full-capacity taps below rated voltage. Comply with IEEE C57.12.36 requirements.</w:t>
      </w:r>
    </w:p>
    <w:p>
      <w:pPr>
        <w:pStyle w:val="CMT"/>
        <w:rPr/>
      </w:pPr>
      <w:r>
        <w:rPr/>
        <w:t>Retain "Enclosure" Paragraph below for transformers 300 kVA and larger.</w:t>
      </w:r>
    </w:p>
    <w:p>
      <w:pPr>
        <w:pStyle w:val="PR1"/>
        <w:numPr>
          <w:ilvl w:val="4"/>
          <w:numId w:val="1"/>
        </w:numPr>
        <w:rPr/>
      </w:pPr>
      <w:r>
        <w:rPr/>
        <w:t>Enclosure:</w:t>
      </w:r>
    </w:p>
    <w:p>
      <w:pPr>
        <w:pStyle w:val="PR2"/>
        <w:numPr>
          <w:ilvl w:val="5"/>
          <w:numId w:val="1"/>
        </w:numPr>
        <w:spacing w:before="240" w:after="0"/>
        <w:rPr/>
      </w:pPr>
      <w:r>
        <w:rPr/>
        <w:t>Provide with provisions for lifting and anchoring frame to concrete pad.</w:t>
      </w:r>
    </w:p>
    <w:p>
      <w:pPr>
        <w:pStyle w:val="PR2"/>
        <w:numPr>
          <w:ilvl w:val="5"/>
          <w:numId w:val="1"/>
        </w:numPr>
        <w:rPr/>
      </w:pPr>
      <w:r>
        <w:rPr/>
        <w:t>With integral skid-mounting frame, suitable to allow skidding or rolling of transformer in any direction.</w:t>
      </w:r>
    </w:p>
    <w:p>
      <w:pPr>
        <w:pStyle w:val="PR2"/>
        <w:numPr>
          <w:ilvl w:val="5"/>
          <w:numId w:val="1"/>
        </w:numPr>
        <w:rPr/>
      </w:pPr>
      <w:r>
        <w:rPr/>
        <w:t xml:space="preserve">Enclosure Finish: </w:t>
      </w:r>
    </w:p>
    <w:p>
      <w:pPr>
        <w:pStyle w:val="CMT"/>
        <w:rPr/>
      </w:pPr>
      <w:r>
        <w:rPr/>
        <w:t>Retain "Outdoor Transformer Enclosure Finish," "Indoor Transformer Enclosure Finish," or "Special Corrosion-Resistant Enclosure Finish" Subparagraph below, depending on corrosion protection requirements. Retain third subparagraph for higher corrosion resistance for locations, such as waste-water treatment plants and environments that are subjected to salt spray.</w:t>
      </w:r>
    </w:p>
    <w:p>
      <w:pPr>
        <w:pStyle w:val="PR3"/>
        <w:numPr>
          <w:ilvl w:val="6"/>
          <w:numId w:val="1"/>
        </w:numPr>
        <w:spacing w:before="240" w:after="0"/>
        <w:rPr/>
      </w:pPr>
      <w:r>
        <w:rPr/>
        <w:t>Outdoor Transformer Enclosure Finish: Factory-applied finish in manufacturer's standard color, corrosion resistant complying with IEEE C57.12.28.</w:t>
      </w:r>
    </w:p>
    <w:p>
      <w:pPr>
        <w:pStyle w:val="PR3"/>
        <w:numPr>
          <w:ilvl w:val="6"/>
          <w:numId w:val="1"/>
        </w:numPr>
        <w:rPr/>
      </w:pPr>
      <w:r>
        <w:rPr/>
        <w:t>Indoor Transformer Enclosure Finish: Factory-applied finish in manufacturer's standard gray over rust-inhibiting primer on treated metal surface.</w:t>
      </w:r>
    </w:p>
    <w:p>
      <w:pPr>
        <w:pStyle w:val="PR3"/>
        <w:numPr>
          <w:ilvl w:val="6"/>
          <w:numId w:val="1"/>
        </w:numPr>
        <w:rPr/>
      </w:pPr>
      <w:r>
        <w:rPr/>
        <w:t>Special Corrosion-Resistant Enclosure Finish: Factory-applied, corrosion-resistant finish in manufacturer's standard color that withstands [</w:t>
      </w:r>
      <w:r>
        <w:rPr>
          <w:b/>
        </w:rPr>
        <w:t>120</w:t>
      </w:r>
      <w:r>
        <w:rPr/>
        <w:t>] [</w:t>
      </w:r>
      <w:r>
        <w:rPr>
          <w:b/>
        </w:rPr>
        <w:t>480</w:t>
      </w:r>
      <w:r>
        <w:rPr/>
        <w:t xml:space="preserve">] hours of exposure to salt-spray test specified in ASTM B117 without loss of paint or release of adhesion of paint primer coat to metal surface in excess of </w:t>
      </w:r>
      <w:r>
        <w:rPr>
          <w:rStyle w:val="IP"/>
        </w:rPr>
        <w:t>1/16 inch</w:t>
      </w:r>
      <w:r>
        <w:rPr>
          <w:rStyle w:val="SI"/>
        </w:rPr>
        <w:t xml:space="preserve"> (1.6 mm)</w:t>
      </w:r>
      <w:r>
        <w:rPr/>
        <w:t xml:space="preserve"> from test mark. Scribed test mark and test evaluation must be in accordance with ASTM D1654 with rating of not less than 7 in accordance with Table 1 (Procedure A). Cut edges or otherwise damaged surfaces of hot-dip galvanized sheet steel, or mill-galvanized sheet steel must be coated with manufacturer's standard zinc-rich paint.</w:t>
      </w:r>
    </w:p>
    <w:p>
      <w:pPr>
        <w:pStyle w:val="PR1"/>
        <w:numPr>
          <w:ilvl w:val="4"/>
          <w:numId w:val="1"/>
        </w:numPr>
        <w:rPr/>
      </w:pPr>
      <w:r>
        <w:rPr/>
        <w:t>Sound level must comply with requirements of NEMA TR 1.</w:t>
      </w:r>
    </w:p>
    <w:p>
      <w:pPr>
        <w:pStyle w:val="CMT"/>
        <w:rPr/>
      </w:pPr>
      <w:r>
        <w:rPr/>
        <w:t>If Project has more than one type or configuration of dry-type, medium-voltage transformer, delete "Capacities and Characteristics" Paragraph below and schedule transformers on Drawings.</w:t>
      </w:r>
    </w:p>
    <w:p>
      <w:pPr>
        <w:pStyle w:val="PR1"/>
        <w:numPr>
          <w:ilvl w:val="4"/>
          <w:numId w:val="1"/>
        </w:numPr>
        <w:rPr/>
      </w:pPr>
      <w:r>
        <w:rPr/>
        <w:t>Capacities and Characteristics:</w:t>
      </w:r>
    </w:p>
    <w:p>
      <w:pPr>
        <w:pStyle w:val="CMT"/>
        <w:rPr/>
      </w:pPr>
      <w:r>
        <w:rPr/>
        <w:t>See Editing Instruction No. 2 in the Evaluations for guidance in selecting NEMA enclosure type.</w:t>
      </w:r>
    </w:p>
    <w:p>
      <w:pPr>
        <w:pStyle w:val="PR2"/>
        <w:numPr>
          <w:ilvl w:val="5"/>
          <w:numId w:val="1"/>
        </w:numPr>
        <w:spacing w:before="240" w:after="0"/>
        <w:rPr/>
      </w:pPr>
      <w:r>
        <w:rPr/>
        <w:t>Enclosure: [</w:t>
      </w:r>
      <w:r>
        <w:rPr>
          <w:b/>
        </w:rPr>
        <w:t>Ventilated</w:t>
      </w:r>
      <w:r>
        <w:rPr/>
        <w:t>] [</w:t>
      </w:r>
      <w:r>
        <w:rPr>
          <w:b/>
        </w:rPr>
        <w:t>Nonventilated</w:t>
      </w:r>
      <w:r>
        <w:rPr/>
        <w:t>] power transformer, NEMA 250 [</w:t>
      </w:r>
      <w:r>
        <w:rPr>
          <w:b/>
        </w:rPr>
        <w:t>Type 1</w:t>
      </w:r>
      <w:r>
        <w:rPr/>
        <w:t>] [</w:t>
      </w:r>
      <w:r>
        <w:rPr>
          <w:b/>
        </w:rPr>
        <w:t>Type 2</w:t>
      </w:r>
      <w:r>
        <w:rPr/>
        <w:t>] [</w:t>
      </w:r>
      <w:r>
        <w:rPr>
          <w:b/>
        </w:rPr>
        <w:t>Type 3R</w:t>
      </w:r>
      <w:r>
        <w:rPr/>
        <w:t>] enclosure.</w:t>
      </w:r>
    </w:p>
    <w:p>
      <w:pPr>
        <w:pStyle w:val="CMT"/>
        <w:rPr/>
      </w:pPr>
      <w:r>
        <w:rPr/>
        <w:t>The "Additional" in "Additional IEEE Standards" Subparagraph below refers to requirements that are complementary to, and are in addition to, those in IEEE C57.12.01.</w:t>
      </w:r>
    </w:p>
    <w:p>
      <w:pPr>
        <w:pStyle w:val="CMT"/>
        <w:rPr/>
      </w:pPr>
      <w:r>
        <w:rPr/>
        <w:t>See "Standards" Article in the Evaluations for assistance in whether to retain and how to select the IEEE standard applicable to this article's transformer. The most commonly used standard is IEEE C57.12.51. IEEE C57.12.55 complements IEEE C57.12.51.</w:t>
      </w:r>
    </w:p>
    <w:p>
      <w:pPr>
        <w:pStyle w:val="PR2"/>
        <w:numPr>
          <w:ilvl w:val="5"/>
          <w:numId w:val="1"/>
        </w:numPr>
        <w:rPr/>
      </w:pPr>
      <w:r>
        <w:rPr/>
        <w:t>Additional IEEE Standards: Comply with [</w:t>
      </w:r>
      <w:r>
        <w:rPr>
          <w:b/>
        </w:rPr>
        <w:t>IEEE C57.12.50</w:t>
      </w:r>
      <w:r>
        <w:rPr/>
        <w:t>] [</w:t>
      </w:r>
      <w:r>
        <w:rPr>
          <w:b/>
        </w:rPr>
        <w:t>IEEE C57.12.51</w:t>
      </w:r>
      <w:r>
        <w:rPr/>
        <w:t>] [</w:t>
      </w:r>
      <w:r>
        <w:rPr>
          <w:b/>
        </w:rPr>
        <w:t>IEEE C57.12.55</w:t>
      </w:r>
      <w:r>
        <w:rPr/>
        <w:t>].</w:t>
      </w:r>
    </w:p>
    <w:p>
      <w:pPr>
        <w:pStyle w:val="CMT"/>
        <w:rPr/>
      </w:pPr>
      <w:r>
        <w:rPr/>
        <w:t>Retain UL 1562 listing requirement in first subparagraph below if required by authorities having jurisdiction; the listing is generally available as an option from transformer manufacturers. This listing does not include evaluation of the transformer in applications where NFPA 70 special provisions for different types of transformers are required. Verify availability with manufacturers.</w:t>
      </w:r>
    </w:p>
    <w:p>
      <w:pPr>
        <w:pStyle w:val="PR2"/>
        <w:numPr>
          <w:ilvl w:val="5"/>
          <w:numId w:val="1"/>
        </w:numPr>
        <w:rPr/>
      </w:pPr>
      <w:r>
        <w:rPr/>
        <w:t>Comply with UL 1562 listing requirements.</w:t>
      </w:r>
    </w:p>
    <w:p>
      <w:pPr>
        <w:pStyle w:val="CMT"/>
        <w:rPr/>
      </w:pPr>
      <w:r>
        <w:rPr/>
        <w:t>Retain "Connections" Subparagraph below for transformers that are not provided with open-wire connections to cover- or sidewall-mounted bushings.</w:t>
      </w:r>
    </w:p>
    <w:p>
      <w:pPr>
        <w:pStyle w:val="PR2"/>
        <w:numPr>
          <w:ilvl w:val="5"/>
          <w:numId w:val="1"/>
        </w:numPr>
        <w:spacing w:before="240" w:after="0"/>
        <w:rPr/>
      </w:pPr>
      <w:r>
        <w:rPr/>
        <w:t>Connections:</w:t>
      </w:r>
    </w:p>
    <w:p>
      <w:pPr>
        <w:pStyle w:val="CMT"/>
        <w:rPr/>
      </w:pPr>
      <w:r>
        <w:rPr/>
        <w:t>Primary connections in "Primary" Subparagraph below are available at 200 kV BIL and less. Retain below if connections are not shown on Drawings.</w:t>
      </w:r>
    </w:p>
    <w:p>
      <w:pPr>
        <w:pStyle w:val="PR3"/>
        <w:numPr>
          <w:ilvl w:val="6"/>
          <w:numId w:val="1"/>
        </w:numPr>
        <w:spacing w:before="240" w:after="0"/>
        <w:rPr/>
      </w:pPr>
      <w:r>
        <w:rPr/>
        <w:t>Primary: [</w:t>
      </w:r>
      <w:r>
        <w:rPr>
          <w:b/>
        </w:rPr>
        <w:t>Air-filled terminal cabinet for cable connection</w:t>
      </w:r>
      <w:r>
        <w:rPr/>
        <w:t>] [</w:t>
      </w:r>
      <w:r>
        <w:rPr>
          <w:b/>
        </w:rPr>
        <w:t>Throat for busway connection</w:t>
      </w:r>
      <w:r>
        <w:rPr/>
        <w:t>] [</w:t>
      </w:r>
      <w:r>
        <w:rPr>
          <w:b/>
        </w:rPr>
        <w:t>Terminals for close connection to primary switch</w:t>
      </w:r>
      <w:r>
        <w:rPr/>
        <w:t>].</w:t>
      </w:r>
    </w:p>
    <w:p>
      <w:pPr>
        <w:pStyle w:val="PR3"/>
        <w:numPr>
          <w:ilvl w:val="6"/>
          <w:numId w:val="1"/>
        </w:numPr>
        <w:rPr/>
      </w:pPr>
      <w:r>
        <w:rPr/>
        <w:t>Secondary: [</w:t>
      </w:r>
      <w:r>
        <w:rPr>
          <w:b/>
        </w:rPr>
        <w:t>Air-filled terminal cabinet for cable connection</w:t>
      </w:r>
      <w:r>
        <w:rPr/>
        <w:t>] [</w:t>
      </w:r>
      <w:r>
        <w:rPr>
          <w:b/>
        </w:rPr>
        <w:t>Throat for busway connection</w:t>
      </w:r>
      <w:r>
        <w:rPr/>
        <w:t>].</w:t>
      </w:r>
    </w:p>
    <w:p>
      <w:pPr>
        <w:pStyle w:val="PR2"/>
        <w:numPr>
          <w:ilvl w:val="5"/>
          <w:numId w:val="1"/>
        </w:numPr>
        <w:spacing w:before="240" w:after="0"/>
        <w:rPr/>
      </w:pPr>
      <w:r>
        <w:rPr/>
        <w:t>Transformer Ratings.</w:t>
      </w:r>
    </w:p>
    <w:p>
      <w:pPr>
        <w:pStyle w:val="CMT"/>
        <w:rPr/>
      </w:pPr>
      <w:r>
        <w:rPr/>
        <w:t>See the Evaluations for discussion on selection of impedance.</w:t>
      </w:r>
    </w:p>
    <w:p>
      <w:pPr>
        <w:pStyle w:val="PR3"/>
        <w:numPr>
          <w:ilvl w:val="6"/>
          <w:numId w:val="1"/>
        </w:numPr>
        <w:spacing w:before="240" w:after="0"/>
        <w:rPr/>
      </w:pPr>
      <w:r>
        <w:rPr/>
        <w:t>Impedance: Not less than [</w:t>
      </w:r>
      <w:r>
        <w:rPr>
          <w:b/>
        </w:rPr>
        <w:t>5.75</w:t>
      </w:r>
      <w:r>
        <w:rPr/>
        <w:t>] &lt;</w:t>
      </w:r>
      <w:r>
        <w:rPr>
          <w:b/>
        </w:rPr>
        <w:t>Insert number</w:t>
      </w:r>
      <w:r>
        <w:rPr/>
        <w:t>&gt; percent.</w:t>
      </w:r>
    </w:p>
    <w:p>
      <w:pPr>
        <w:pStyle w:val="CMT"/>
        <w:rPr/>
      </w:pPr>
      <w:r>
        <w:rPr/>
        <w:t>See "Insulation Systems" Article in the Evaluations for discussion on selection of temperature rise.</w:t>
      </w:r>
    </w:p>
    <w:p>
      <w:pPr>
        <w:pStyle w:val="PR3"/>
        <w:numPr>
          <w:ilvl w:val="6"/>
          <w:numId w:val="1"/>
        </w:numPr>
        <w:rPr/>
      </w:pPr>
      <w:r>
        <w:rPr/>
        <w:t>Temperature Rise: [</w:t>
      </w:r>
      <w:r>
        <w:rPr>
          <w:b/>
        </w:rPr>
        <w:t>150 deg C</w:t>
      </w:r>
      <w:r>
        <w:rPr/>
        <w:t>] &lt;</w:t>
      </w:r>
      <w:r>
        <w:rPr>
          <w:b/>
        </w:rPr>
        <w:t>Insert deg C</w:t>
      </w:r>
      <w:r>
        <w:rPr/>
        <w:t>&gt;.</w:t>
      </w:r>
    </w:p>
    <w:p>
      <w:pPr>
        <w:pStyle w:val="PR3"/>
        <w:numPr>
          <w:ilvl w:val="6"/>
          <w:numId w:val="1"/>
        </w:numPr>
        <w:rPr/>
      </w:pPr>
      <w:r>
        <w:rPr/>
        <w:t>Coils Connection:</w:t>
      </w:r>
    </w:p>
    <w:p>
      <w:pPr>
        <w:pStyle w:val="PR4"/>
        <w:numPr>
          <w:ilvl w:val="7"/>
          <w:numId w:val="1"/>
        </w:numPr>
        <w:spacing w:before="240" w:after="0"/>
        <w:rPr/>
      </w:pPr>
      <w:r>
        <w:rPr/>
        <w:t>Line-Side Winding: [</w:t>
      </w:r>
      <w:r>
        <w:rPr>
          <w:b/>
        </w:rPr>
        <w:t>Delta</w:t>
      </w:r>
      <w:r>
        <w:rPr/>
        <w:t>] &lt;</w:t>
      </w:r>
      <w:r>
        <w:rPr>
          <w:b/>
        </w:rPr>
        <w:t>Insert connection</w:t>
      </w:r>
      <w:r>
        <w:rPr/>
        <w:t>&gt;.</w:t>
      </w:r>
    </w:p>
    <w:p>
      <w:pPr>
        <w:pStyle w:val="PR4"/>
        <w:numPr>
          <w:ilvl w:val="7"/>
          <w:numId w:val="1"/>
        </w:numPr>
        <w:rPr/>
      </w:pPr>
      <w:r>
        <w:rPr/>
        <w:t>Load-Side Winding: [</w:t>
      </w:r>
      <w:r>
        <w:rPr>
          <w:b/>
        </w:rPr>
        <w:t>Wye</w:t>
      </w:r>
      <w:r>
        <w:rPr/>
        <w:t>] &lt;</w:t>
      </w:r>
      <w:r>
        <w:rPr>
          <w:b/>
        </w:rPr>
        <w:t>Insert connection</w:t>
      </w:r>
      <w:r>
        <w:rPr/>
        <w:t>&gt;.</w:t>
      </w:r>
    </w:p>
    <w:p>
      <w:pPr>
        <w:pStyle w:val="CMT"/>
        <w:rPr/>
      </w:pPr>
      <w:r>
        <w:rPr/>
        <w:t>BIL ratings in "Voltage and BIL Ratings" Subparagraph below are standard voltage ratings in accordance with IEEE C57.12.01. The alternate BIL ratings for 5 kV nominal system voltages are 45 and 60 kV. The alternate BIL ratings for 15 kV nominal system voltages are 95 and 110 kV. The alternate BIL ratings for 34.5 V nominal system voltages are 125 and 200 kV. The standard sets no BIL value for 0.25 kV. The alternate BIL ratings for 0.6 kV nominal secondary voltages are 20 and 30 kV. See "Insulation Systems" Article in the Evaluations for additional values and guidance.</w:t>
      </w:r>
    </w:p>
    <w:p>
      <w:pPr>
        <w:pStyle w:val="PR3"/>
        <w:numPr>
          <w:ilvl w:val="6"/>
          <w:numId w:val="1"/>
        </w:numPr>
        <w:spacing w:before="240" w:after="0"/>
        <w:rPr/>
      </w:pPr>
      <w:r>
        <w:rPr/>
        <w:t>Voltage and BIL Ratings:</w:t>
      </w:r>
    </w:p>
    <w:p>
      <w:pPr>
        <w:pStyle w:val="PR4"/>
        <w:numPr>
          <w:ilvl w:val="7"/>
          <w:numId w:val="1"/>
        </w:numPr>
        <w:spacing w:before="240" w:after="0"/>
        <w:rPr/>
      </w:pPr>
      <w:r>
        <w:rPr/>
        <w:t>Nominal primary phase-to-phase voltage and BIL: [</w:t>
      </w:r>
      <w:r>
        <w:rPr>
          <w:b/>
        </w:rPr>
        <w:t>4160 V, 30 kV</w:t>
      </w:r>
      <w:r>
        <w:rPr/>
        <w:t>] [</w:t>
      </w:r>
      <w:r>
        <w:rPr>
          <w:b/>
        </w:rPr>
        <w:t>13 800 V, 60 kV</w:t>
      </w:r>
      <w:r>
        <w:rPr/>
        <w:t>] [</w:t>
      </w:r>
      <w:r>
        <w:rPr>
          <w:b/>
        </w:rPr>
        <w:t>34 500 V, 150 kV</w:t>
      </w:r>
      <w:r>
        <w:rPr/>
        <w:t>] &lt;</w:t>
      </w:r>
      <w:r>
        <w:rPr>
          <w:b/>
        </w:rPr>
        <w:t>Insert requirements</w:t>
      </w:r>
      <w:r>
        <w:rPr/>
        <w:t>&gt;.</w:t>
      </w:r>
    </w:p>
    <w:p>
      <w:pPr>
        <w:pStyle w:val="PR4"/>
        <w:numPr>
          <w:ilvl w:val="7"/>
          <w:numId w:val="1"/>
        </w:numPr>
        <w:rPr/>
      </w:pPr>
      <w:r>
        <w:rPr/>
        <w:t>Nominal secondary voltage and BIL: [</w:t>
      </w:r>
      <w:r>
        <w:rPr>
          <w:b/>
        </w:rPr>
        <w:t>208Y/120 V, 10 kV</w:t>
      </w:r>
      <w:r>
        <w:rPr/>
        <w:t>] [</w:t>
      </w:r>
      <w:r>
        <w:rPr>
          <w:b/>
        </w:rPr>
        <w:t>480Y/277 V, 10 kV</w:t>
      </w:r>
      <w:r>
        <w:rPr/>
        <w:t>] &lt;</w:t>
      </w:r>
      <w:r>
        <w:rPr>
          <w:b/>
        </w:rPr>
        <w:t>Insert requirements</w:t>
      </w:r>
      <w:r>
        <w:rPr/>
        <w:t>&gt;.</w:t>
      </w:r>
    </w:p>
    <w:p>
      <w:pPr>
        <w:pStyle w:val="CMT"/>
        <w:rPr/>
      </w:pPr>
      <w:r>
        <w:rPr/>
        <w:t>See the Evaluations for discussion of K-factor.</w:t>
      </w:r>
    </w:p>
    <w:p>
      <w:pPr>
        <w:pStyle w:val="PR3"/>
        <w:numPr>
          <w:ilvl w:val="6"/>
          <w:numId w:val="1"/>
        </w:numPr>
        <w:spacing w:before="240" w:after="0"/>
        <w:rPr/>
      </w:pPr>
      <w:r>
        <w:rPr/>
        <w:t>K-Factor: &lt;</w:t>
      </w:r>
      <w:r>
        <w:rPr>
          <w:b/>
        </w:rPr>
        <w:t>Insert number</w:t>
      </w:r>
      <w:r>
        <w:rPr/>
        <w:t>&gt;, complying with UL 1562.</w:t>
      </w:r>
    </w:p>
    <w:p>
      <w:pPr>
        <w:pStyle w:val="PR2"/>
        <w:numPr>
          <w:ilvl w:val="5"/>
          <w:numId w:val="1"/>
        </w:numPr>
        <w:spacing w:before="240" w:after="0"/>
        <w:rPr/>
      </w:pPr>
      <w:r>
        <w:rPr/>
        <w:t>Taps: Two 2-1/2 percent, full-capacity taps above and two 2-1/2 percent, full-capacity taps below rated voltage. Comply with IEEE C57.12.51 requirements.</w:t>
      </w:r>
    </w:p>
    <w:p>
      <w:pPr>
        <w:pStyle w:val="PR2"/>
        <w:numPr>
          <w:ilvl w:val="5"/>
          <w:numId w:val="1"/>
        </w:numPr>
        <w:rPr/>
      </w:pPr>
      <w:r>
        <w:rPr/>
        <w:t>Transformer Accessories:</w:t>
      </w:r>
    </w:p>
    <w:p>
      <w:pPr>
        <w:pStyle w:val="PR3"/>
        <w:numPr>
          <w:ilvl w:val="6"/>
          <w:numId w:val="1"/>
        </w:numPr>
        <w:spacing w:before="240" w:after="0"/>
        <w:rPr/>
      </w:pPr>
      <w:r>
        <w:rPr/>
        <w:t>Dial-type analog thermometer with alarm contacts.</w:t>
      </w:r>
    </w:p>
    <w:p>
      <w:pPr>
        <w:pStyle w:val="PR3"/>
        <w:numPr>
          <w:ilvl w:val="6"/>
          <w:numId w:val="1"/>
        </w:numPr>
        <w:rPr/>
      </w:pPr>
      <w:r>
        <w:rPr/>
        <w:t>At least four stainless steel ground connection pads.</w:t>
      </w:r>
    </w:p>
    <w:p>
      <w:pPr>
        <w:pStyle w:val="PR3"/>
        <w:numPr>
          <w:ilvl w:val="6"/>
          <w:numId w:val="1"/>
        </w:numPr>
        <w:rPr/>
      </w:pPr>
      <w:r>
        <w:rPr/>
        <w:t>Provisions for jacking, lifting, and towing.</w:t>
      </w:r>
    </w:p>
    <w:p>
      <w:pPr>
        <w:pStyle w:val="PR3"/>
        <w:numPr>
          <w:ilvl w:val="6"/>
          <w:numId w:val="1"/>
        </w:numPr>
        <w:rPr/>
      </w:pPr>
      <w:r>
        <w:rPr/>
        <w:t>Machine-engraved nameplate made of anodized aluminum or stainless steel.</w:t>
      </w:r>
    </w:p>
    <w:p>
      <w:pPr>
        <w:pStyle w:val="CMT"/>
        <w:rPr/>
      </w:pPr>
      <w:r>
        <w:rPr/>
        <w:t>Retain "Heaters" Subparagraph below for NEMA 250, Type 3R units in cold climates, where it is likely that transformer will be without power.</w:t>
      </w:r>
    </w:p>
    <w:p>
      <w:pPr>
        <w:pStyle w:val="PR2"/>
        <w:numPr>
          <w:ilvl w:val="5"/>
          <w:numId w:val="1"/>
        </w:numPr>
        <w:spacing w:before="240" w:after="0"/>
        <w:rPr/>
      </w:pPr>
      <w:r>
        <w:rPr/>
        <w:t>Heaters: Where outdoor cast-coil transformers are shown on Drawings, they must include thermostatically controlled space heaters powered from [</w:t>
      </w:r>
      <w:r>
        <w:rPr>
          <w:b/>
        </w:rPr>
        <w:t>external source that remains energized when transformer is de-energized</w:t>
      </w:r>
      <w:r>
        <w:rPr/>
        <w:t>] [</w:t>
      </w:r>
      <w:r>
        <w:rPr>
          <w:b/>
        </w:rPr>
        <w:t>a fused control power transformer connected to primary side of substation transformer</w:t>
      </w:r>
      <w:r>
        <w:rPr/>
        <w:t>].</w:t>
      </w:r>
    </w:p>
    <w:p>
      <w:pPr>
        <w:pStyle w:val="ART"/>
        <w:numPr>
          <w:ilvl w:val="3"/>
          <w:numId w:val="1"/>
        </w:numPr>
        <w:ind w:hanging="0" w:left="0"/>
        <w:rPr/>
      </w:pPr>
      <w:r>
        <w:rPr/>
        <w:t>CONTROL NETWORK</w:t>
      </w:r>
    </w:p>
    <w:p>
      <w:pPr>
        <w:pStyle w:val="CMT"/>
        <w:rPr/>
      </w:pPr>
      <w:r>
        <w:rPr/>
        <w:t>See Editing Instruction No. 4 in the Evaluations for guidance on control network communications options.</w:t>
      </w:r>
    </w:p>
    <w:p>
      <w:pPr>
        <w:pStyle w:val="PR1"/>
        <w:numPr>
          <w:ilvl w:val="4"/>
          <w:numId w:val="1"/>
        </w:numPr>
        <w:rPr/>
      </w:pPr>
      <w:r>
        <w:rPr/>
        <w:t>Controllers: Support serial MS/TP and Ethernet IP communications, and able to communicate directly via RS-485 serial networks and Ethernet 10Base-T networks as native device.</w:t>
      </w:r>
    </w:p>
    <w:p>
      <w:pPr>
        <w:pStyle w:val="ART"/>
        <w:numPr>
          <w:ilvl w:val="3"/>
          <w:numId w:val="1"/>
        </w:numPr>
        <w:ind w:hanging="0" w:left="0"/>
        <w:rPr/>
      </w:pPr>
      <w:r>
        <w:rPr/>
        <w:t>WARNING LABELS AND SIGNS</w:t>
      </w:r>
    </w:p>
    <w:p>
      <w:pPr>
        <w:pStyle w:val="PR1"/>
        <w:numPr>
          <w:ilvl w:val="4"/>
          <w:numId w:val="1"/>
        </w:numPr>
        <w:rPr/>
      </w:pPr>
      <w:r>
        <w:rPr/>
        <w:t>Comply with requirements for labels and signs specified in Section 260553 "Identification for Electrical Systems."</w:t>
      </w:r>
    </w:p>
    <w:p>
      <w:pPr>
        <w:pStyle w:val="PR2"/>
        <w:numPr>
          <w:ilvl w:val="5"/>
          <w:numId w:val="1"/>
        </w:numPr>
        <w:spacing w:before="240" w:after="0"/>
        <w:rPr/>
      </w:pPr>
      <w:r>
        <w:rPr/>
        <w:t>Warning signs must be made of baked enamel.</w:t>
      </w:r>
    </w:p>
    <w:p>
      <w:pPr>
        <w:pStyle w:val="PR2"/>
        <w:numPr>
          <w:ilvl w:val="5"/>
          <w:numId w:val="1"/>
        </w:numPr>
        <w:rPr/>
      </w:pPr>
      <w:r>
        <w:rPr/>
        <w:t>Equipment Identification Labels: [</w:t>
      </w:r>
      <w:r>
        <w:rPr>
          <w:b/>
        </w:rPr>
        <w:t>Engraved, laminated-acrylic or -melamine label</w:t>
      </w:r>
      <w:r>
        <w:rPr/>
        <w:t>] [</w:t>
      </w:r>
      <w:r>
        <w:rPr>
          <w:b/>
        </w:rPr>
        <w:t xml:space="preserve">Stenciled legend </w:t>
      </w:r>
      <w:r>
        <w:rPr>
          <w:rStyle w:val="IP"/>
          <w:b/>
        </w:rPr>
        <w:t>4 inch</w:t>
      </w:r>
      <w:r>
        <w:rPr>
          <w:rStyle w:val="SI"/>
          <w:b/>
        </w:rPr>
        <w:t xml:space="preserve"> (100 mm)</w:t>
      </w:r>
      <w:r>
        <w:rPr>
          <w:b/>
        </w:rPr>
        <w:t xml:space="preserve"> high</w:t>
      </w:r>
      <w:r>
        <w:rPr/>
        <w:t>].</w:t>
      </w:r>
    </w:p>
    <w:p>
      <w:pPr>
        <w:pStyle w:val="ART"/>
        <w:numPr>
          <w:ilvl w:val="3"/>
          <w:numId w:val="1"/>
        </w:numPr>
        <w:ind w:hanging="0" w:left="0"/>
        <w:rPr/>
      </w:pPr>
      <w:r>
        <w:rPr/>
        <w:t>SOURCE QUALITY CONTROL</w:t>
      </w:r>
    </w:p>
    <w:p>
      <w:pPr>
        <w:pStyle w:val="CMT"/>
        <w:rPr/>
      </w:pPr>
      <w:r>
        <w:rPr/>
        <w:t>Retain first paragraph below if Owner wants tests witnessed.</w:t>
      </w:r>
    </w:p>
    <w:p>
      <w:pPr>
        <w:pStyle w:val="PR1"/>
        <w:numPr>
          <w:ilvl w:val="4"/>
          <w:numId w:val="1"/>
        </w:numPr>
        <w:rPr/>
      </w:pPr>
      <w:r>
        <w:rPr/>
        <w:t>Owner will witness required factory tests. Notify Architect at least 14 days before date of tests and indicate their approximate duration.</w:t>
      </w:r>
    </w:p>
    <w:p>
      <w:pPr>
        <w:pStyle w:val="CMT"/>
        <w:rPr/>
      </w:pPr>
      <w:r>
        <w:rPr/>
        <w:t>Retain "Testing Administrant" Paragraph below if required. Independent certification may be acceptable to authorities having jurisdiction without further monitoring of plant's quality-control and testing program by Owner. Coordinate with "Qualifications" Article in Section 260010 "Supplemental Requirements for Electrical."</w:t>
      </w:r>
    </w:p>
    <w:p>
      <w:pPr>
        <w:pStyle w:val="PR1"/>
        <w:numPr>
          <w:ilvl w:val="4"/>
          <w:numId w:val="1"/>
        </w:numPr>
        <w:rPr/>
      </w:pPr>
      <w:r>
        <w:rPr/>
        <w:t>Testing Administrant: [</w:t>
      </w:r>
      <w:r>
        <w:rPr>
          <w:b/>
          <w:bCs/>
        </w:rPr>
        <w:t>Owner will engage</w:t>
      </w:r>
      <w:r>
        <w:rPr/>
        <w:t>] [</w:t>
      </w:r>
      <w:r>
        <w:rPr>
          <w:b/>
        </w:rPr>
        <w:t>Engage</w:t>
      </w:r>
      <w:r>
        <w:rPr/>
        <w:t>] qualified electrical testing agency to evaluate transformer.</w:t>
      </w:r>
    </w:p>
    <w:p>
      <w:pPr>
        <w:pStyle w:val="CMT"/>
        <w:rPr/>
      </w:pPr>
      <w:r>
        <w:rPr/>
        <w:t>See "Source Quality Control" Article in the Evaluations for list of transformer design tests.</w:t>
      </w:r>
    </w:p>
    <w:p>
      <w:pPr>
        <w:pStyle w:val="PR1"/>
        <w:numPr>
          <w:ilvl w:val="4"/>
          <w:numId w:val="1"/>
        </w:numPr>
        <w:rPr/>
      </w:pPr>
      <w:r>
        <w:rPr/>
        <w:t>Testing: Test and inspect transformer in accordance with IEEE C57.12.91.</w:t>
      </w:r>
    </w:p>
    <w:p>
      <w:pPr>
        <w:pStyle w:val="CMT"/>
        <w:rPr/>
      </w:pPr>
      <w:r>
        <w:rPr/>
        <w:t>Retain "Factory Tests and Inspections" Paragraph below for factory-assembled system that is being shipped to a critical facility or remote location where removal, repair, reinstallation, retesting, and reinspecting are impracticable. Factory tests are an added cost option and may not be available from some manufacturers. Verify requirement with Owner.</w:t>
      </w:r>
    </w:p>
    <w:p>
      <w:pPr>
        <w:pStyle w:val="PR1"/>
        <w:numPr>
          <w:ilvl w:val="4"/>
          <w:numId w:val="1"/>
        </w:numPr>
        <w:rPr/>
      </w:pPr>
      <w:r>
        <w:rPr/>
        <w:t>Factory Tests and Inspections: Perform the following factory-certified routine tests by, or under supervision of, qualified electrical testing laboratory recognized by authorities having jurisdiction, before delivering to site. Affix label with name and date of [</w:t>
      </w:r>
      <w:r>
        <w:rPr>
          <w:b/>
        </w:rPr>
        <w:t>manufacturer's</w:t>
      </w:r>
      <w:r>
        <w:rPr/>
        <w:t>] [</w:t>
      </w:r>
      <w:r>
        <w:rPr>
          <w:b/>
        </w:rPr>
        <w:t>qualified electrical testing laboratory's</w:t>
      </w:r>
      <w:r>
        <w:rPr/>
        <w:t>] certification of system compliance on control units.</w:t>
      </w:r>
    </w:p>
    <w:p>
      <w:pPr>
        <w:pStyle w:val="PR2"/>
        <w:numPr>
          <w:ilvl w:val="5"/>
          <w:numId w:val="1"/>
        </w:numPr>
        <w:spacing w:before="240" w:after="0"/>
        <w:rPr/>
      </w:pPr>
      <w:r>
        <w:rPr/>
        <w:t>Tests for transformers 500 kVA and smaller:</w:t>
      </w:r>
    </w:p>
    <w:p>
      <w:pPr>
        <w:pStyle w:val="CMT"/>
        <w:rPr/>
      </w:pPr>
      <w:r>
        <w:rPr/>
        <w:t>Tests in first four subparagraphs below are required for compliance with IEEE C57.12.01.</w:t>
      </w:r>
    </w:p>
    <w:p>
      <w:pPr>
        <w:pStyle w:val="PR3"/>
        <w:numPr>
          <w:ilvl w:val="6"/>
          <w:numId w:val="1"/>
        </w:numPr>
        <w:spacing w:before="240" w:after="0"/>
        <w:rPr/>
      </w:pPr>
      <w:r>
        <w:rPr/>
        <w:t>Turns ratio, polarity, and phase relation on rated voltage connection.</w:t>
      </w:r>
    </w:p>
    <w:p>
      <w:pPr>
        <w:pStyle w:val="PR3"/>
        <w:numPr>
          <w:ilvl w:val="6"/>
          <w:numId w:val="1"/>
        </w:numPr>
        <w:rPr/>
      </w:pPr>
      <w:r>
        <w:rPr/>
        <w:t>Transformer no-load losses and excitation current at 100 percent of ratings. This test may be based on a statistical sample.</w:t>
      </w:r>
    </w:p>
    <w:p>
      <w:pPr>
        <w:pStyle w:val="PR3"/>
        <w:numPr>
          <w:ilvl w:val="6"/>
          <w:numId w:val="1"/>
        </w:numPr>
        <w:rPr/>
      </w:pPr>
      <w:r>
        <w:rPr/>
        <w:t>Applied voltage and induced voltage.</w:t>
      </w:r>
    </w:p>
    <w:p>
      <w:pPr>
        <w:pStyle w:val="PR3"/>
        <w:numPr>
          <w:ilvl w:val="6"/>
          <w:numId w:val="1"/>
        </w:numPr>
        <w:rPr/>
      </w:pPr>
      <w:r>
        <w:rPr/>
        <w:t>Partial discharge.</w:t>
      </w:r>
    </w:p>
    <w:p>
      <w:pPr>
        <w:pStyle w:val="CMT"/>
        <w:rPr/>
      </w:pPr>
      <w:r>
        <w:rPr/>
        <w:t>Tests in first seven subparagraphs below are optional according to IEEE C57.12.01.</w:t>
      </w:r>
    </w:p>
    <w:p>
      <w:pPr>
        <w:pStyle w:val="PR3"/>
        <w:numPr>
          <w:ilvl w:val="6"/>
          <w:numId w:val="1"/>
        </w:numPr>
        <w:rPr/>
      </w:pPr>
      <w:r>
        <w:rPr/>
        <w:t>Impedance voltage and load loss at rated current and rated frequency on rated voltage connection and at tap extremes.</w:t>
      </w:r>
    </w:p>
    <w:p>
      <w:pPr>
        <w:pStyle w:val="PR3"/>
        <w:numPr>
          <w:ilvl w:val="6"/>
          <w:numId w:val="1"/>
        </w:numPr>
        <w:rPr/>
      </w:pPr>
      <w:r>
        <w:rPr/>
        <w:t>Temperature rise at minimum and maximum ratings.</w:t>
      </w:r>
    </w:p>
    <w:p>
      <w:pPr>
        <w:pStyle w:val="PR3"/>
        <w:numPr>
          <w:ilvl w:val="6"/>
          <w:numId w:val="1"/>
        </w:numPr>
        <w:rPr/>
      </w:pPr>
      <w:r>
        <w:rPr/>
        <w:t>Impulse.</w:t>
      </w:r>
    </w:p>
    <w:p>
      <w:pPr>
        <w:pStyle w:val="PR3"/>
        <w:numPr>
          <w:ilvl w:val="6"/>
          <w:numId w:val="1"/>
        </w:numPr>
        <w:rPr/>
      </w:pPr>
      <w:r>
        <w:rPr/>
        <w:t>Insulation power factor.</w:t>
      </w:r>
    </w:p>
    <w:p>
      <w:pPr>
        <w:pStyle w:val="PR3"/>
        <w:numPr>
          <w:ilvl w:val="6"/>
          <w:numId w:val="1"/>
        </w:numPr>
        <w:rPr/>
      </w:pPr>
      <w:r>
        <w:rPr/>
        <w:t>Insulation resistance.</w:t>
      </w:r>
    </w:p>
    <w:p>
      <w:pPr>
        <w:pStyle w:val="PR3"/>
        <w:numPr>
          <w:ilvl w:val="6"/>
          <w:numId w:val="1"/>
        </w:numPr>
        <w:rPr/>
      </w:pPr>
      <w:r>
        <w:rPr/>
        <w:t>Audible sound level.</w:t>
      </w:r>
    </w:p>
    <w:p>
      <w:pPr>
        <w:pStyle w:val="PR3"/>
        <w:numPr>
          <w:ilvl w:val="6"/>
          <w:numId w:val="1"/>
        </w:numPr>
        <w:rPr/>
      </w:pPr>
      <w:r>
        <w:rPr/>
        <w:t>Short-circuit capability.</w:t>
      </w:r>
    </w:p>
    <w:p>
      <w:pPr>
        <w:pStyle w:val="CMT"/>
        <w:rPr/>
      </w:pPr>
      <w:r>
        <w:rPr/>
        <w:t>Tests in first two subparagraphs below are not listed in IEEE C57.12.01, but may be indicated if Project conditions warrant.</w:t>
      </w:r>
    </w:p>
    <w:p>
      <w:pPr>
        <w:pStyle w:val="PR3"/>
        <w:numPr>
          <w:ilvl w:val="6"/>
          <w:numId w:val="1"/>
        </w:numPr>
        <w:rPr/>
      </w:pPr>
      <w:r>
        <w:rPr/>
        <w:t>Operation of devices.</w:t>
      </w:r>
    </w:p>
    <w:p>
      <w:pPr>
        <w:pStyle w:val="PR3"/>
        <w:numPr>
          <w:ilvl w:val="6"/>
          <w:numId w:val="1"/>
        </w:numPr>
        <w:rPr/>
      </w:pPr>
      <w:r>
        <w:rPr/>
        <w:t>Control (auxiliary) and consumption loss data values.</w:t>
      </w:r>
    </w:p>
    <w:p>
      <w:pPr>
        <w:pStyle w:val="PR2"/>
        <w:numPr>
          <w:ilvl w:val="5"/>
          <w:numId w:val="1"/>
        </w:numPr>
        <w:spacing w:before="240" w:after="0"/>
        <w:rPr/>
      </w:pPr>
      <w:r>
        <w:rPr/>
        <w:t>Tests for transformers 501 kVA and larger:</w:t>
      </w:r>
    </w:p>
    <w:p>
      <w:pPr>
        <w:pStyle w:val="CMT"/>
        <w:rPr/>
      </w:pPr>
      <w:r>
        <w:rPr/>
        <w:t>Tests in first seven subparagraphs below are required for compliance with IEEE C57.12.01.</w:t>
      </w:r>
    </w:p>
    <w:p>
      <w:pPr>
        <w:pStyle w:val="PR3"/>
        <w:numPr>
          <w:ilvl w:val="6"/>
          <w:numId w:val="1"/>
        </w:numPr>
        <w:spacing w:before="240" w:after="0"/>
        <w:rPr/>
      </w:pPr>
      <w:r>
        <w:rPr/>
        <w:t>Resistance measurements of windings on rated voltage tap and at tap extremes.</w:t>
      </w:r>
    </w:p>
    <w:p>
      <w:pPr>
        <w:pStyle w:val="PR3"/>
        <w:numPr>
          <w:ilvl w:val="6"/>
          <w:numId w:val="1"/>
        </w:numPr>
        <w:rPr/>
      </w:pPr>
      <w:r>
        <w:rPr/>
        <w:t>Turns ratio, polarity, and phase relation on rated voltage connection.</w:t>
      </w:r>
    </w:p>
    <w:p>
      <w:pPr>
        <w:pStyle w:val="PR3"/>
        <w:numPr>
          <w:ilvl w:val="6"/>
          <w:numId w:val="1"/>
        </w:numPr>
        <w:rPr/>
      </w:pPr>
      <w:r>
        <w:rPr/>
        <w:t>Transformer no-load losses and excitation current at 100 percent of ratings.</w:t>
      </w:r>
    </w:p>
    <w:p>
      <w:pPr>
        <w:pStyle w:val="PR3"/>
        <w:numPr>
          <w:ilvl w:val="6"/>
          <w:numId w:val="1"/>
        </w:numPr>
        <w:rPr/>
      </w:pPr>
      <w:r>
        <w:rPr/>
        <w:t>Impedance voltage and load loss at rated current and rated frequency on rated voltage connection and at tap extremes.</w:t>
      </w:r>
    </w:p>
    <w:p>
      <w:pPr>
        <w:pStyle w:val="PR3"/>
        <w:numPr>
          <w:ilvl w:val="6"/>
          <w:numId w:val="1"/>
        </w:numPr>
        <w:rPr/>
      </w:pPr>
      <w:r>
        <w:rPr/>
        <w:t>Applied voltage and induced voltage.</w:t>
      </w:r>
    </w:p>
    <w:p>
      <w:pPr>
        <w:pStyle w:val="PR3"/>
        <w:numPr>
          <w:ilvl w:val="6"/>
          <w:numId w:val="1"/>
        </w:numPr>
        <w:rPr/>
      </w:pPr>
      <w:r>
        <w:rPr/>
        <w:t>Partial discharge.</w:t>
      </w:r>
    </w:p>
    <w:p>
      <w:pPr>
        <w:pStyle w:val="CMT"/>
        <w:rPr/>
      </w:pPr>
      <w:r>
        <w:rPr/>
        <w:t>Retain "Leak test" Subparagraph below for sealed transformers.</w:t>
      </w:r>
    </w:p>
    <w:p>
      <w:pPr>
        <w:pStyle w:val="PR3"/>
        <w:numPr>
          <w:ilvl w:val="6"/>
          <w:numId w:val="1"/>
        </w:numPr>
        <w:rPr/>
      </w:pPr>
      <w:r>
        <w:rPr/>
        <w:t>Leak test.</w:t>
      </w:r>
    </w:p>
    <w:p>
      <w:pPr>
        <w:pStyle w:val="CMT"/>
        <w:rPr/>
      </w:pPr>
      <w:r>
        <w:rPr/>
        <w:t>Tests in first six subparagraphs below are optional according to IEEE C57.12.01.</w:t>
      </w:r>
    </w:p>
    <w:p>
      <w:pPr>
        <w:pStyle w:val="PR3"/>
        <w:numPr>
          <w:ilvl w:val="6"/>
          <w:numId w:val="1"/>
        </w:numPr>
        <w:rPr/>
      </w:pPr>
      <w:r>
        <w:rPr/>
        <w:t>Temperature rise at minimum and maximum ratings.</w:t>
      </w:r>
    </w:p>
    <w:p>
      <w:pPr>
        <w:pStyle w:val="PR3"/>
        <w:numPr>
          <w:ilvl w:val="6"/>
          <w:numId w:val="1"/>
        </w:numPr>
        <w:rPr/>
      </w:pPr>
      <w:r>
        <w:rPr/>
        <w:t>Impulse.</w:t>
      </w:r>
    </w:p>
    <w:p>
      <w:pPr>
        <w:pStyle w:val="PR3"/>
        <w:numPr>
          <w:ilvl w:val="6"/>
          <w:numId w:val="1"/>
        </w:numPr>
        <w:rPr/>
      </w:pPr>
      <w:r>
        <w:rPr/>
        <w:t>Insulation power factor.</w:t>
      </w:r>
    </w:p>
    <w:p>
      <w:pPr>
        <w:pStyle w:val="PR3"/>
        <w:numPr>
          <w:ilvl w:val="6"/>
          <w:numId w:val="1"/>
        </w:numPr>
        <w:rPr/>
      </w:pPr>
      <w:r>
        <w:rPr/>
        <w:t>Insulation resistance.</w:t>
      </w:r>
    </w:p>
    <w:p>
      <w:pPr>
        <w:pStyle w:val="PR3"/>
        <w:numPr>
          <w:ilvl w:val="6"/>
          <w:numId w:val="1"/>
        </w:numPr>
        <w:rPr/>
      </w:pPr>
      <w:r>
        <w:rPr/>
        <w:t>Audible sound level.</w:t>
      </w:r>
    </w:p>
    <w:p>
      <w:pPr>
        <w:pStyle w:val="PR3"/>
        <w:numPr>
          <w:ilvl w:val="6"/>
          <w:numId w:val="1"/>
        </w:numPr>
        <w:rPr/>
      </w:pPr>
      <w:r>
        <w:rPr/>
        <w:t>Short-circuit capability.</w:t>
      </w:r>
    </w:p>
    <w:p>
      <w:pPr>
        <w:pStyle w:val="CMT"/>
        <w:rPr/>
      </w:pPr>
      <w:r>
        <w:rPr/>
        <w:t>Tests in two subparagraphs below are not listed in IEEE C57.12.01, but may be indicated if Project conditions warrant.</w:t>
      </w:r>
    </w:p>
    <w:p>
      <w:pPr>
        <w:pStyle w:val="PR3"/>
        <w:numPr>
          <w:ilvl w:val="6"/>
          <w:numId w:val="1"/>
        </w:numPr>
        <w:rPr/>
      </w:pPr>
      <w:r>
        <w:rPr/>
        <w:t>Operation of devices.</w:t>
      </w:r>
    </w:p>
    <w:p>
      <w:pPr>
        <w:pStyle w:val="PR3"/>
        <w:numPr>
          <w:ilvl w:val="6"/>
          <w:numId w:val="1"/>
        </w:numPr>
        <w:rPr/>
      </w:pPr>
      <w:r>
        <w:rPr/>
        <w:t>Control (auxiliary) and consumption loss data values.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 xml:space="preserve">Nonconforming Work: </w:t>
      </w:r>
    </w:p>
    <w:p>
      <w:pPr>
        <w:pStyle w:val="PR2"/>
        <w:numPr>
          <w:ilvl w:val="5"/>
          <w:numId w:val="1"/>
        </w:numPr>
        <w:spacing w:before="240" w:after="0"/>
        <w:rPr/>
      </w:pPr>
      <w:r>
        <w:rPr/>
        <w:t>Equipment that does not pass tests and inspections will be considered defective.</w:t>
      </w:r>
    </w:p>
    <w:p>
      <w:pPr>
        <w:pStyle w:val="PR1"/>
        <w:numPr>
          <w:ilvl w:val="4"/>
          <w:numId w:val="1"/>
        </w:numPr>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dry-type, medium-voltage transformers upon delivery.</w:t>
      </w:r>
    </w:p>
    <w:p>
      <w:pPr>
        <w:pStyle w:val="PR2"/>
        <w:numPr>
          <w:ilvl w:val="5"/>
          <w:numId w:val="1"/>
        </w:numPr>
        <w:spacing w:before="240" w:after="0"/>
        <w:rPr/>
      </w:pPr>
      <w:r>
        <w:rPr/>
        <w:t>Upon delivery of transformers and prior to unloading, inspect equipment for damage that may have occurred during shipment or storage.</w:t>
      </w:r>
    </w:p>
    <w:p>
      <w:pPr>
        <w:pStyle w:val="PR2"/>
        <w:numPr>
          <w:ilvl w:val="5"/>
          <w:numId w:val="1"/>
        </w:numPr>
        <w:rPr/>
      </w:pPr>
      <w:r>
        <w:rPr/>
        <w:t>Verify that tie rods and chains are undamaged and tight, and that blocking and bracing is tight. Verify that there is no evidence of load shifting in transit, and that readings from transportation shock recorders, if equipped, are within manufacturer's recommendations.</w:t>
      </w:r>
    </w:p>
    <w:p>
      <w:pPr>
        <w:pStyle w:val="PR2"/>
        <w:numPr>
          <w:ilvl w:val="5"/>
          <w:numId w:val="1"/>
        </w:numPr>
        <w:rPr/>
      </w:pPr>
      <w:r>
        <w:rPr/>
        <w:t>Verify that there is no indication of external damage and no dents or scratches in doors and sill, tank walls, radiators and fins, or termination provisions.</w:t>
      </w:r>
    </w:p>
    <w:p>
      <w:pPr>
        <w:pStyle w:val="PR2"/>
        <w:numPr>
          <w:ilvl w:val="5"/>
          <w:numId w:val="1"/>
        </w:numPr>
        <w:rPr/>
      </w:pPr>
      <w:r>
        <w:rPr/>
        <w:t>Compare transformers and accessories received with bill of materials to verify that shipment is complete. Verify that transformers and accessories conform with manufacturer's quotation and shop drawings. If shipment is incomplete or does not comply with Project requirements, notify manufacturer in writing immediately.</w:t>
      </w:r>
    </w:p>
    <w:p>
      <w:pPr>
        <w:pStyle w:val="PR2"/>
        <w:numPr>
          <w:ilvl w:val="5"/>
          <w:numId w:val="1"/>
        </w:numPr>
        <w:rPr/>
      </w:pPr>
      <w:r>
        <w:rPr/>
        <w:t>Unload transformers carefully, observing packing label warnings and handling instructions.</w:t>
      </w:r>
    </w:p>
    <w:p>
      <w:pPr>
        <w:pStyle w:val="PR2"/>
        <w:numPr>
          <w:ilvl w:val="5"/>
          <w:numId w:val="1"/>
        </w:numPr>
        <w:rPr/>
      </w:pPr>
      <w:r>
        <w:rPr/>
        <w:t>Open termination compartment doors and inspect components for damage or displaced parts, loose or broken connections, cracked or chipped insulators, bent mounting flanges, dirt or foreign material, and water or moisture.</w:t>
      </w:r>
    </w:p>
    <w:p>
      <w:pPr>
        <w:pStyle w:val="PR1"/>
        <w:numPr>
          <w:ilvl w:val="4"/>
          <w:numId w:val="1"/>
        </w:numPr>
        <w:rPr/>
      </w:pPr>
      <w:r>
        <w:rPr/>
        <w:t>Handling:</w:t>
      </w:r>
    </w:p>
    <w:p>
      <w:pPr>
        <w:pStyle w:val="PR2"/>
        <w:numPr>
          <w:ilvl w:val="5"/>
          <w:numId w:val="1"/>
        </w:numPr>
        <w:spacing w:before="240" w:after="0"/>
        <w:rPr/>
      </w:pPr>
      <w:r>
        <w:rPr/>
        <w:t>Handle transformers carefully, in accordance with manufacturer recommendations, to avoid damage to enclosure, termination compartments, base, frame, and internal components. Do not subject transformers to impact, jolting, jarring, or rough handling.</w:t>
      </w:r>
    </w:p>
    <w:p>
      <w:pPr>
        <w:pStyle w:val="PR2"/>
        <w:numPr>
          <w:ilvl w:val="5"/>
          <w:numId w:val="1"/>
        </w:numPr>
        <w:rPr/>
      </w:pPr>
      <w:r>
        <w:rPr/>
        <w:t>Protect transformer against entrance of dust, rain, and snow.</w:t>
      </w:r>
    </w:p>
    <w:p>
      <w:pPr>
        <w:pStyle w:val="PR2"/>
        <w:numPr>
          <w:ilvl w:val="5"/>
          <w:numId w:val="1"/>
        </w:numPr>
        <w:rPr/>
      </w:pPr>
      <w:r>
        <w:rPr/>
        <w:t>Transport transformers upright, to avoid internal stresses on core and coil mounting assembly and transformer case.</w:t>
      </w:r>
    </w:p>
    <w:p>
      <w:pPr>
        <w:pStyle w:val="PR2"/>
        <w:numPr>
          <w:ilvl w:val="5"/>
          <w:numId w:val="1"/>
        </w:numPr>
        <w:rPr/>
      </w:pPr>
      <w:r>
        <w:rPr/>
        <w:t>Verify that transformer weights are within rated capacity of handling equipment.</w:t>
      </w:r>
    </w:p>
    <w:p>
      <w:pPr>
        <w:pStyle w:val="PR2"/>
        <w:numPr>
          <w:ilvl w:val="5"/>
          <w:numId w:val="1"/>
        </w:numPr>
        <w:rPr/>
      </w:pPr>
      <w:r>
        <w:rPr/>
        <w:t>Use only manufacturer-recommended points for lifting, jacking, and pulling. Use lifting lugs when lifting transformers.</w:t>
      </w:r>
    </w:p>
    <w:p>
      <w:pPr>
        <w:pStyle w:val="PR2"/>
        <w:numPr>
          <w:ilvl w:val="5"/>
          <w:numId w:val="1"/>
        </w:numPr>
        <w:rPr/>
      </w:pPr>
      <w:r>
        <w:rPr/>
        <w:t>Use jacks only at corners of base plate of transformer case.</w:t>
      </w:r>
    </w:p>
    <w:p>
      <w:pPr>
        <w:pStyle w:val="PR2"/>
        <w:numPr>
          <w:ilvl w:val="5"/>
          <w:numId w:val="1"/>
        </w:numPr>
        <w:rPr/>
      </w:pPr>
      <w:r>
        <w:rPr/>
        <w:t>Use nylon straps of same length to balance and distribute weight when handling transformers with crane.</w:t>
      </w:r>
    </w:p>
    <w:p>
      <w:pPr>
        <w:pStyle w:val="PR2"/>
        <w:numPr>
          <w:ilvl w:val="5"/>
          <w:numId w:val="1"/>
        </w:numPr>
        <w:rPr/>
      </w:pPr>
      <w:r>
        <w:rPr/>
        <w:t>Use spreaders or lifting beam to obtain vertical lift and to protect transformer from straps bearing against enclosure. Lifting cable pull angles may not be greater than 15 degrees from vertical.</w:t>
      </w:r>
    </w:p>
    <w:p>
      <w:pPr>
        <w:pStyle w:val="PR2"/>
        <w:numPr>
          <w:ilvl w:val="5"/>
          <w:numId w:val="1"/>
        </w:numPr>
        <w:rPr/>
      </w:pPr>
      <w:r>
        <w:rPr/>
        <w:t>Exercise care not to damage base structure of case when handling transformer using skids or rollers. Use skids to distribute stresses over case base when using rollers under large transformers.</w:t>
      </w:r>
    </w:p>
    <w:p>
      <w:pPr>
        <w:pStyle w:val="PR1"/>
        <w:numPr>
          <w:ilvl w:val="4"/>
          <w:numId w:val="1"/>
        </w:numPr>
        <w:rPr/>
      </w:pPr>
      <w:r>
        <w:rPr/>
        <w:t>Storage:</w:t>
      </w:r>
    </w:p>
    <w:p>
      <w:pPr>
        <w:pStyle w:val="PR2"/>
        <w:numPr>
          <w:ilvl w:val="5"/>
          <w:numId w:val="1"/>
        </w:numPr>
        <w:spacing w:before="240" w:after="0"/>
        <w:rPr/>
      </w:pPr>
      <w:r>
        <w:rPr/>
        <w:t>Store transformers in accordance with manufacturer's recommendations.</w:t>
      </w:r>
    </w:p>
    <w:p>
      <w:pPr>
        <w:pStyle w:val="PR2"/>
        <w:numPr>
          <w:ilvl w:val="5"/>
          <w:numId w:val="1"/>
        </w:numPr>
        <w:rPr/>
      </w:pPr>
      <w:r>
        <w:rPr/>
        <w:t>Transformers may be stored outdoors. If possible, store transformers at final installation locations on concrete pads. If dry concrete surfaces are unavailable, use pallets of adequate strength to protect transformers from direct contact with ground. Ensure transformer is level.</w:t>
      </w:r>
    </w:p>
    <w:p>
      <w:pPr>
        <w:pStyle w:val="PR2"/>
        <w:numPr>
          <w:ilvl w:val="5"/>
          <w:numId w:val="1"/>
        </w:numPr>
        <w:rPr/>
      </w:pPr>
      <w:r>
        <w:rPr/>
        <w:t>Ensure that transformer storage location is clean and protected from severe conditions. Protect transformers from dirt, water, contamination, and physical damage. Do not store transformers in presence of corrosive or explosive gases. Protect transformers from weather when stored for more than three months.</w:t>
      </w:r>
    </w:p>
    <w:p>
      <w:pPr>
        <w:pStyle w:val="PR2"/>
        <w:numPr>
          <w:ilvl w:val="5"/>
          <w:numId w:val="1"/>
        </w:numPr>
        <w:rPr/>
      </w:pPr>
      <w:r>
        <w:rPr/>
        <w:t>Store transformers with compartment doors closed.</w:t>
      </w:r>
    </w:p>
    <w:p>
      <w:pPr>
        <w:pStyle w:val="PR2"/>
        <w:numPr>
          <w:ilvl w:val="5"/>
          <w:numId w:val="1"/>
        </w:numPr>
        <w:rPr/>
      </w:pPr>
      <w:r>
        <w:rPr/>
        <w:t>Regularly inspect transformers while in storage and maintain documentation of storage conditions, noting discrepancies or adverse conditions. Visually check for rust spots.</w:t>
      </w:r>
    </w:p>
    <w:p>
      <w:pPr>
        <w:pStyle w:val="PR1"/>
        <w:numPr>
          <w:ilvl w:val="4"/>
          <w:numId w:val="1"/>
        </w:numPr>
        <w:rPr/>
      </w:pPr>
      <w:r>
        <w:rPr/>
        <w:t>Examine areas and space conditions for compliance with requirements for dry-type, medium-voltage transformers and other conditions affecting performance of the Work.</w:t>
      </w:r>
    </w:p>
    <w:p>
      <w:pPr>
        <w:pStyle w:val="PR1"/>
        <w:numPr>
          <w:ilvl w:val="4"/>
          <w:numId w:val="1"/>
        </w:numPr>
        <w:rPr/>
      </w:pPr>
      <w:r>
        <w:rPr/>
        <w:t>Examine roughing-in of conduits and grounding systems to verify the following:</w:t>
      </w:r>
    </w:p>
    <w:p>
      <w:pPr>
        <w:pStyle w:val="PR2"/>
        <w:numPr>
          <w:ilvl w:val="5"/>
          <w:numId w:val="1"/>
        </w:numPr>
        <w:spacing w:before="240" w:after="0"/>
        <w:rPr/>
      </w:pPr>
      <w:r>
        <w:rPr/>
        <w:t>Wiring entries comply with layout requirements.</w:t>
      </w:r>
    </w:p>
    <w:p>
      <w:pPr>
        <w:pStyle w:val="PR2"/>
        <w:numPr>
          <w:ilvl w:val="5"/>
          <w:numId w:val="1"/>
        </w:numPr>
        <w:rPr/>
      </w:pPr>
      <w:r>
        <w:rPr/>
        <w:t>Entries are within conduit-entry tolerances specified by manufacturer, and no feeders may cross section barriers to reach load or line lugs.</w:t>
      </w:r>
    </w:p>
    <w:p>
      <w:pPr>
        <w:pStyle w:val="PR1"/>
        <w:numPr>
          <w:ilvl w:val="4"/>
          <w:numId w:val="1"/>
        </w:numPr>
        <w:rPr/>
      </w:pPr>
      <w:r>
        <w:rPr/>
        <w:t>Examine walls, floors, roofs, and concrete bases for suitable conditions for transformer installation.</w:t>
      </w:r>
    </w:p>
    <w:p>
      <w:pPr>
        <w:pStyle w:val="PR1"/>
        <w:numPr>
          <w:ilvl w:val="4"/>
          <w:numId w:val="1"/>
        </w:numPr>
        <w:rPr/>
      </w:pPr>
      <w:r>
        <w:rPr/>
        <w:t>Pre-Installation Checks:</w:t>
      </w:r>
    </w:p>
    <w:p>
      <w:pPr>
        <w:pStyle w:val="PR2"/>
        <w:numPr>
          <w:ilvl w:val="5"/>
          <w:numId w:val="1"/>
        </w:numPr>
        <w:spacing w:before="240" w:after="0"/>
        <w:rPr/>
      </w:pPr>
      <w:r>
        <w:rPr/>
        <w:t>Verify removal of shipping bracing after placement.</w:t>
      </w:r>
    </w:p>
    <w:p>
      <w:pPr>
        <w:pStyle w:val="CMT"/>
        <w:rPr/>
      </w:pPr>
      <w:r>
        <w:rPr/>
        <w:t>Revise 5 Ω value in first paragraph below to suit Project conditions.</w:t>
      </w:r>
    </w:p>
    <w:p>
      <w:pPr>
        <w:pStyle w:val="PR1"/>
        <w:numPr>
          <w:ilvl w:val="4"/>
          <w:numId w:val="1"/>
        </w:numPr>
        <w:rPr/>
      </w:pPr>
      <w:r>
        <w:rPr/>
        <w:t>Verify that ground connections are in place and that requirements in Section 260526 "Grounding and Bonding for Electrical Systems" have been met. Ground resistance at transformer location may not be greater than 5 Ω.</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Retain first paragraph below to require equipment to be installed on cast-in-place concrete equipment bases.</w:t>
      </w:r>
    </w:p>
    <w:p>
      <w:pPr>
        <w:pStyle w:val="PR1"/>
        <w:numPr>
          <w:ilvl w:val="4"/>
          <w:numId w:val="1"/>
        </w:numPr>
        <w:rPr/>
      </w:pPr>
      <w:r>
        <w:rPr/>
        <w:t>Install transformers on cast-in-place concrete equipment base(s). Comply with requirements for equipment bases and foundations specified in Section 033000 "Cast-in-Place Concrete."</w:t>
      </w:r>
    </w:p>
    <w:p>
      <w:pPr>
        <w:pStyle w:val="PR1"/>
        <w:numPr>
          <w:ilvl w:val="4"/>
          <w:numId w:val="1"/>
        </w:numPr>
        <w:rPr/>
      </w:pPr>
      <w:r>
        <w:rPr/>
        <w:t>Transformer must be installed level and plumb and must tilt less than 1.5 degrees while energized.</w:t>
      </w:r>
    </w:p>
    <w:p>
      <w:pPr>
        <w:pStyle w:val="CMT"/>
        <w:rPr/>
      </w:pPr>
      <w:r>
        <w:rPr/>
        <w:t>Retain first paragraph below for interior installations. Indicate vibration isolation and seismic control device type and minimum deflection in supported equipment schedule on Drawings.</w:t>
      </w:r>
    </w:p>
    <w:p>
      <w:pPr>
        <w:pStyle w:val="PR1"/>
        <w:numPr>
          <w:ilvl w:val="4"/>
          <w:numId w:val="1"/>
        </w:numPr>
        <w:rPr/>
      </w:pPr>
      <w:r>
        <w:rPr/>
        <w:t>Comply with requirements for vibration isolation and seismic control devices specified in Section 260529 "Hangers and Supports for Electrical Systems" and Section 260548.16 "Seismic Controls for Electrical Systems."</w:t>
      </w:r>
    </w:p>
    <w:p>
      <w:pPr>
        <w:pStyle w:val="PR1"/>
        <w:numPr>
          <w:ilvl w:val="4"/>
          <w:numId w:val="1"/>
        </w:numPr>
        <w:rPr/>
      </w:pPr>
      <w:r>
        <w:rPr/>
        <w:t>Maintain minimum clearances and workspace at equipment in accordance with manufacturer's published instructions and NFPA 70.</w:t>
      </w:r>
    </w:p>
    <w:p>
      <w:pPr>
        <w:pStyle w:val="ART"/>
        <w:numPr>
          <w:ilvl w:val="3"/>
          <w:numId w:val="1"/>
        </w:numPr>
        <w:ind w:hanging="0" w:left="0"/>
        <w:rPr/>
      </w:pPr>
      <w:r>
        <w:rPr/>
        <w:t>CONNECTIONS</w:t>
      </w:r>
    </w:p>
    <w:p>
      <w:pPr>
        <w:pStyle w:val="PR1"/>
        <w:numPr>
          <w:ilvl w:val="4"/>
          <w:numId w:val="1"/>
        </w:numPr>
        <w:rPr/>
      </w:pPr>
      <w:r>
        <w:rPr/>
        <w:t>Ground equipment in accordance with Section 260526 "Grounding and Bonding for Electrical Systems."</w:t>
      </w:r>
    </w:p>
    <w:p>
      <w:pPr>
        <w:pStyle w:val="PR2"/>
        <w:numPr>
          <w:ilvl w:val="5"/>
          <w:numId w:val="1"/>
        </w:numPr>
        <w:spacing w:before="240" w:after="0"/>
        <w:rPr/>
      </w:pPr>
      <w:r>
        <w:rPr/>
        <w:t>At Interior Locations: For grounding to grounding electrodes, provide bare copper cable not smaller than 4/0 AWG. Bond surge arrester and neutrals directly to transformer enclosure and then to grounding electrode system with bare copper conductors. Keep leads as short as practicable, with no kinks or sharp bends. Make joints in grounding conductors and loops by exothermic weld or compression connector.</w:t>
      </w:r>
    </w:p>
    <w:p>
      <w:pPr>
        <w:pStyle w:val="PR2"/>
        <w:numPr>
          <w:ilvl w:val="5"/>
          <w:numId w:val="1"/>
        </w:numPr>
        <w:rPr/>
      </w:pPr>
      <w:r>
        <w:rPr/>
        <w:t>At Exterior Locations:</w:t>
      </w:r>
    </w:p>
    <w:p>
      <w:pPr>
        <w:pStyle w:val="PR3"/>
        <w:numPr>
          <w:ilvl w:val="6"/>
          <w:numId w:val="1"/>
        </w:numPr>
        <w:spacing w:before="240" w:after="0"/>
        <w:rPr/>
      </w:pPr>
      <w:r>
        <w:rPr/>
        <w:t xml:space="preserve">For counterpoise, provide tinned bare copper cable not smaller than 4/0 AWG, buried not less than </w:t>
      </w:r>
      <w:r>
        <w:rPr>
          <w:rStyle w:val="IP"/>
        </w:rPr>
        <w:t>30 inch</w:t>
      </w:r>
      <w:r>
        <w:rPr>
          <w:rStyle w:val="SI"/>
        </w:rPr>
        <w:t xml:space="preserve"> (765 mm)</w:t>
      </w:r>
      <w:r>
        <w:rPr/>
        <w:t xml:space="preserve"> below grade interconnecting grounding electrodes. Bond surge arrester and neutrals directly to transformer enclosure and then to grounding electrode system with bare copper conductors. Keep lead lengths as short as practicable, with no kinks or sharp bends.</w:t>
      </w:r>
    </w:p>
    <w:p>
      <w:pPr>
        <w:pStyle w:val="PR3"/>
        <w:numPr>
          <w:ilvl w:val="6"/>
          <w:numId w:val="1"/>
        </w:numPr>
        <w:rPr/>
      </w:pPr>
      <w:r>
        <w:rPr/>
        <w:t xml:space="preserve">Fence and equipment connections may not be smaller than 4 AWG. Ground fence at gate posts and corner post and at intervals not exceeding </w:t>
      </w:r>
      <w:r>
        <w:rPr>
          <w:rStyle w:val="IP"/>
        </w:rPr>
        <w:t>10 ft</w:t>
      </w:r>
      <w:r>
        <w:rPr>
          <w:rStyle w:val="SI"/>
        </w:rPr>
        <w:t xml:space="preserve"> (3 m)</w:t>
      </w:r>
      <w:r>
        <w:rPr/>
        <w:t xml:space="preserve">. Bond gate sections to fence posts using </w:t>
      </w:r>
      <w:r>
        <w:rPr>
          <w:rStyle w:val="IP"/>
        </w:rPr>
        <w:t>1/8 by 1 inch</w:t>
      </w:r>
      <w:r>
        <w:rPr>
          <w:rStyle w:val="SI"/>
        </w:rPr>
        <w:t xml:space="preserve"> (3 by 25 mm)</w:t>
      </w:r>
      <w:r>
        <w:rPr/>
        <w:t xml:space="preserve"> [</w:t>
      </w:r>
      <w:r>
        <w:rPr>
          <w:b/>
        </w:rPr>
        <w:t>tinned </w:t>
      </w:r>
      <w:r>
        <w:rPr/>
        <w:t>]flexible braided copper strap and clamps.</w:t>
      </w:r>
    </w:p>
    <w:p>
      <w:pPr>
        <w:pStyle w:val="PR3"/>
        <w:numPr>
          <w:ilvl w:val="6"/>
          <w:numId w:val="1"/>
        </w:numPr>
        <w:rPr/>
      </w:pPr>
      <w:r>
        <w:rPr/>
        <w:t>Make joints in grounding conductors and loops by exothermic weld or compression connector.</w:t>
      </w:r>
    </w:p>
    <w:p>
      <w:pPr>
        <w:pStyle w:val="PR2"/>
        <w:numPr>
          <w:ilvl w:val="5"/>
          <w:numId w:val="1"/>
        </w:numPr>
        <w:spacing w:before="240" w:after="0"/>
        <w:rPr/>
      </w:pPr>
      <w:r>
        <w:rPr/>
        <w:t>Terminate grounding and bonding conductors on common equipment grounding terminal on transformer enclosure. Install supplemental terminal bars, lugs, and bonding jumpers as required to accommodate number of conductors for termination.</w:t>
      </w:r>
    </w:p>
    <w:p>
      <w:pPr>
        <w:pStyle w:val="PR2"/>
        <w:numPr>
          <w:ilvl w:val="5"/>
          <w:numId w:val="1"/>
        </w:numPr>
        <w:rPr/>
      </w:pPr>
      <w:r>
        <w:rPr/>
        <w:t>Complete transformer tank grounding and lightning arrester connections prior to making other electrical connections.</w:t>
      </w:r>
    </w:p>
    <w:p>
      <w:pPr>
        <w:pStyle w:val="PR1"/>
        <w:numPr>
          <w:ilvl w:val="4"/>
          <w:numId w:val="1"/>
        </w:numPr>
        <w:rPr/>
      </w:pPr>
      <w:r>
        <w:rPr/>
        <w:t>Connect wiring in accordance with Section 260519 "Low-Voltage Electrical Power Conductors and Cables."</w:t>
      </w:r>
    </w:p>
    <w:p>
      <w:pPr>
        <w:pStyle w:val="PR2"/>
        <w:numPr>
          <w:ilvl w:val="5"/>
          <w:numId w:val="1"/>
        </w:numPr>
        <w:spacing w:before="240" w:after="0"/>
        <w:rPr/>
      </w:pPr>
      <w:r>
        <w:rPr/>
        <w:t>Maintain air clearances between energized live parts and between live parts and ground for exposed connections in accordance with manufacturer recommendations.</w:t>
      </w:r>
    </w:p>
    <w:p>
      <w:pPr>
        <w:pStyle w:val="PR2"/>
        <w:numPr>
          <w:ilvl w:val="5"/>
          <w:numId w:val="1"/>
        </w:numPr>
        <w:rPr/>
      </w:pPr>
      <w:r>
        <w:rPr/>
        <w:t>Bundle associated phase, neutral, and equipment grounding conductors together within transformer enclosure. Arrange conductors such that there is not excessive strain that could cause loose connections. Allow adequate slack for expansion and contraction of conductors.</w:t>
      </w:r>
    </w:p>
    <w:p>
      <w:pPr>
        <w:pStyle w:val="PR1"/>
        <w:numPr>
          <w:ilvl w:val="4"/>
          <w:numId w:val="1"/>
        </w:numPr>
        <w:rPr/>
      </w:pPr>
      <w:r>
        <w:rPr/>
        <w:t>Terminate medium-voltage cables in incoming section of substations in accordance with Section 260513 "Medium-Voltage Cables."</w:t>
      </w:r>
    </w:p>
    <w:p>
      <w:pPr>
        <w:pStyle w:val="ART"/>
        <w:numPr>
          <w:ilvl w:val="3"/>
          <w:numId w:val="1"/>
        </w:numPr>
        <w:ind w:hanging="0" w:left="0"/>
        <w:rPr/>
      </w:pPr>
      <w:r>
        <w:rPr/>
        <w:t>SIGNS AND LABELS</w:t>
      </w:r>
    </w:p>
    <w:p>
      <w:pPr>
        <w:pStyle w:val="PR1"/>
        <w:numPr>
          <w:ilvl w:val="4"/>
          <w:numId w:val="1"/>
        </w:numPr>
        <w:rPr/>
      </w:pPr>
      <w:r>
        <w:rPr/>
        <w:t>Comply with installation requirements for labels and signs specified in Section 260553 "Identification for Electrical Systems."</w:t>
      </w:r>
    </w:p>
    <w:p>
      <w:pPr>
        <w:pStyle w:val="PR1"/>
        <w:numPr>
          <w:ilvl w:val="4"/>
          <w:numId w:val="1"/>
        </w:numPr>
        <w:rPr/>
      </w:pPr>
      <w:r>
        <w:rPr/>
        <w:t>Install warning signs as required to comply with 29 CFR 1910.269.</w:t>
      </w:r>
    </w:p>
    <w:p>
      <w:pPr>
        <w:pStyle w:val="ART"/>
        <w:numPr>
          <w:ilvl w:val="3"/>
          <w:numId w:val="1"/>
        </w:numPr>
        <w:ind w:hanging="0" w:left="0"/>
        <w:rPr/>
      </w:pPr>
      <w:r>
        <w:rPr/>
        <w:t>FIELD QUALITY CONTROL</w:t>
      </w:r>
    </w:p>
    <w:p>
      <w:pPr>
        <w:pStyle w:val="PR1"/>
        <w:numPr>
          <w:ilvl w:val="4"/>
          <w:numId w:val="1"/>
        </w:numPr>
        <w:rPr/>
      </w:pPr>
      <w:r>
        <w:rPr/>
        <w:t>[</w:t>
      </w:r>
      <w:r>
        <w:rPr>
          <w:b/>
        </w:rPr>
        <w:t>Acceptance </w:t>
      </w:r>
      <w:r>
        <w:rPr/>
        <w:t>]Testing Preparation:</w:t>
      </w:r>
    </w:p>
    <w:p>
      <w:pPr>
        <w:pStyle w:val="PR2"/>
        <w:numPr>
          <w:ilvl w:val="5"/>
          <w:numId w:val="1"/>
        </w:numPr>
        <w:spacing w:before="240" w:after="0"/>
        <w:rPr/>
      </w:pPr>
      <w:r>
        <w:rPr/>
        <w:t>&lt;</w:t>
      </w:r>
      <w:r>
        <w:rPr>
          <w:b/>
        </w:rPr>
        <w:t>Insert requirements</w:t>
      </w:r>
      <w:r>
        <w:rPr/>
        <w:t>&gt;.</w:t>
      </w:r>
    </w:p>
    <w:p>
      <w:pPr>
        <w:pStyle w:val="CMT"/>
        <w:rPr>
          <w:szCs w:val="22"/>
        </w:rPr>
      </w:pPr>
      <w:r>
        <w:rPr>
          <w:szCs w:val="22"/>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"Tests and Inspections" Paragraph below with "Qualifications" and "Field Quality Control" articles in Section 260010 "Supplemental Requirements for Electrical."</w:t>
      </w:r>
    </w:p>
    <w:p>
      <w:pPr>
        <w:pStyle w:val="PR1"/>
        <w:numPr>
          <w:ilvl w:val="4"/>
          <w:numId w:val="1"/>
        </w:numPr>
        <w:rPr/>
      </w:pPr>
      <w:r>
        <w:rPr/>
        <w:t>Tests and Inspections:</w:t>
      </w:r>
    </w:p>
    <w:p>
      <w:pPr>
        <w:pStyle w:val="PR2"/>
        <w:numPr>
          <w:ilvl w:val="5"/>
          <w:numId w:val="1"/>
        </w:numPr>
        <w:spacing w:before="240" w:after="0"/>
        <w:rPr/>
      </w:pPr>
      <w:r>
        <w:rPr/>
        <w:t>General Field-Testing Requirements:</w:t>
      </w:r>
    </w:p>
    <w:p>
      <w:pPr>
        <w:pStyle w:val="CMT"/>
        <w:rPr/>
      </w:pPr>
      <w:r>
        <w:rPr/>
        <w:t>NFPA 70B reference in first subparagraph below contains requirements for qualifications of test operators and test equipment.</w:t>
      </w:r>
    </w:p>
    <w:p>
      <w:pPr>
        <w:pStyle w:val="PR3"/>
        <w:numPr>
          <w:ilvl w:val="6"/>
          <w:numId w:val="1"/>
        </w:numPr>
        <w:spacing w:before="240" w:after="0"/>
        <w:rPr/>
      </w:pPr>
      <w:r>
        <w:rPr/>
        <w:t xml:space="preserve">Comply with provisions of "Testing and Test Methods" Chapter in NFPA 70B. </w:t>
      </w:r>
    </w:p>
    <w:p>
      <w:pPr>
        <w:pStyle w:val="PR3"/>
        <w:numPr>
          <w:ilvl w:val="6"/>
          <w:numId w:val="1"/>
        </w:numPr>
        <w:rPr/>
      </w:pPr>
      <w:r>
        <w:rPr/>
        <w:t>Perform visual and mechanical inspections and electrical tests. Certify compliance with test parameters.</w:t>
      </w:r>
    </w:p>
    <w:p>
      <w:pPr>
        <w:pStyle w:val="PR3"/>
        <w:numPr>
          <w:ilvl w:val="6"/>
          <w:numId w:val="1"/>
        </w:numPr>
        <w:rPr/>
      </w:pPr>
      <w:r>
        <w:rPr/>
        <w:t>After installing transformer but before primary is energized, verify that grounding system at substation is tested at specified value or less.</w:t>
      </w:r>
    </w:p>
    <w:p>
      <w:pPr>
        <w:pStyle w:val="PR3"/>
        <w:numPr>
          <w:ilvl w:val="6"/>
          <w:numId w:val="1"/>
        </w:numPr>
        <w:rPr/>
      </w:pPr>
      <w:r>
        <w:rPr/>
        <w:t>After installing transformer and after electrical circuitry has been energized, test for compliance with requirements.</w:t>
      </w:r>
    </w:p>
    <w:p>
      <w:pPr>
        <w:pStyle w:val="PR3"/>
        <w:numPr>
          <w:ilvl w:val="6"/>
          <w:numId w:val="1"/>
        </w:numPr>
        <w:rPr/>
      </w:pPr>
      <w:r>
        <w:rPr/>
        <w:t>Visual and Mechanical Inspection:</w:t>
      </w:r>
    </w:p>
    <w:p>
      <w:pPr>
        <w:pStyle w:val="PR4"/>
        <w:numPr>
          <w:ilvl w:val="7"/>
          <w:numId w:val="1"/>
        </w:numPr>
        <w:spacing w:before="240" w:after="0"/>
        <w:rPr/>
      </w:pPr>
      <w:r>
        <w:rPr/>
        <w:t>Verify equipment nameplate data complies with Contract Documents.</w:t>
      </w:r>
    </w:p>
    <w:p>
      <w:pPr>
        <w:pStyle w:val="PR4"/>
        <w:numPr>
          <w:ilvl w:val="7"/>
          <w:numId w:val="1"/>
        </w:numPr>
        <w:rPr/>
      </w:pPr>
      <w:r>
        <w:rPr/>
        <w:t>Inspect bolted electrical connections for high resistance using one of the following two methods:</w:t>
      </w:r>
    </w:p>
    <w:p>
      <w:pPr>
        <w:pStyle w:val="PR5"/>
        <w:numPr>
          <w:ilvl w:val="8"/>
          <w:numId w:val="1"/>
        </w:numPr>
        <w:spacing w:before="240" w:after="0"/>
        <w:rPr/>
      </w:pPr>
      <w:r>
        <w:rPr/>
        <w:t>Use low-resistance ohmmeter to compare bolted connection resistance values to values of similar connections. Investigate values that deviate from those of similar bolted connections by more than 50 percent of lowest value.</w:t>
      </w:r>
    </w:p>
    <w:p>
      <w:pPr>
        <w:pStyle w:val="PR5"/>
        <w:numPr>
          <w:ilvl w:val="8"/>
          <w:numId w:val="1"/>
        </w:numPr>
        <w:rPr/>
      </w:pPr>
      <w:r>
        <w:rPr/>
        <w:t>Verify tightness of accessible bolted electrical connections by calibrated torque-wrench method in accordance with manufacturer's published data or NETA ATS, Table 100.12. Bolt-torque levels must be in accordance with manufacturer's published data. In absence of manufacturer's published data, use NETA ATS, Table 100.12.</w:t>
      </w:r>
    </w:p>
    <w:p>
      <w:pPr>
        <w:pStyle w:val="PR2"/>
        <w:numPr>
          <w:ilvl w:val="5"/>
          <w:numId w:val="1"/>
        </w:numPr>
        <w:spacing w:before="240" w:after="0"/>
        <w:rPr/>
      </w:pPr>
      <w:r>
        <w:rPr/>
        <w:t>Medium-Voltage Surge Arrester Field Tests:</w:t>
      </w:r>
    </w:p>
    <w:p>
      <w:pPr>
        <w:pStyle w:val="PR3"/>
        <w:numPr>
          <w:ilvl w:val="6"/>
          <w:numId w:val="1"/>
        </w:numPr>
        <w:spacing w:before="240" w:after="0"/>
        <w:rPr/>
      </w:pPr>
      <w:r>
        <w:rPr/>
        <w:t>Visual and Mechanical Inspection:</w:t>
      </w:r>
    </w:p>
    <w:p>
      <w:pPr>
        <w:pStyle w:val="PR4"/>
        <w:numPr>
          <w:ilvl w:val="7"/>
          <w:numId w:val="1"/>
        </w:numPr>
        <w:spacing w:before="240" w:after="0"/>
        <w:rPr/>
      </w:pPr>
      <w:r>
        <w:rPr/>
        <w:t>Inspect physical and mechanical condition.</w:t>
      </w:r>
    </w:p>
    <w:p>
      <w:pPr>
        <w:pStyle w:val="PR4"/>
        <w:numPr>
          <w:ilvl w:val="7"/>
          <w:numId w:val="1"/>
        </w:numPr>
        <w:rPr/>
      </w:pPr>
      <w:r>
        <w:rPr/>
        <w:t>Inspect anchorage, alignment, grounding, and clearances.</w:t>
      </w:r>
    </w:p>
    <w:p>
      <w:pPr>
        <w:pStyle w:val="PR4"/>
        <w:numPr>
          <w:ilvl w:val="7"/>
          <w:numId w:val="1"/>
        </w:numPr>
        <w:rPr/>
      </w:pPr>
      <w:r>
        <w:rPr/>
        <w:t>Verify arresters are clean.</w:t>
      </w:r>
    </w:p>
    <w:p>
      <w:pPr>
        <w:pStyle w:val="PR4"/>
        <w:numPr>
          <w:ilvl w:val="7"/>
          <w:numId w:val="1"/>
        </w:numPr>
        <w:rPr/>
      </w:pPr>
      <w:r>
        <w:rPr/>
        <w:t>Verify that ground leads on devices are individually attached to ground bus or ground electrode.</w:t>
      </w:r>
    </w:p>
    <w:p>
      <w:pPr>
        <w:pStyle w:val="PR4"/>
        <w:numPr>
          <w:ilvl w:val="7"/>
          <w:numId w:val="1"/>
        </w:numPr>
        <w:rPr/>
      </w:pPr>
      <w:r>
        <w:rPr/>
        <w:t>Verify that stroke counter is correctly mounted and electrically connected if applicable. Record stroke counter reading.</w:t>
      </w:r>
    </w:p>
    <w:p>
      <w:pPr>
        <w:pStyle w:val="PR3"/>
        <w:numPr>
          <w:ilvl w:val="6"/>
          <w:numId w:val="1"/>
        </w:numPr>
        <w:spacing w:before="240" w:after="0"/>
        <w:rPr/>
      </w:pPr>
      <w:r>
        <w:rPr/>
        <w:t>Electrical Test:</w:t>
      </w:r>
    </w:p>
    <w:p>
      <w:pPr>
        <w:pStyle w:val="PR4"/>
        <w:numPr>
          <w:ilvl w:val="7"/>
          <w:numId w:val="1"/>
        </w:numPr>
        <w:spacing w:before="240" w:after="0"/>
        <w:rPr/>
      </w:pPr>
      <w:r>
        <w:rPr/>
        <w:t>Perform insulation-resistance test on arresters, phase terminal-to-ground. Apply voltage in accordance with manufacturer's published data. In the absence of manufacturer's published data, comply with NETA ATS, Table 100.1. Replace units that fail to meet recommended minimum insulation resistance listed in that table.</w:t>
      </w:r>
    </w:p>
    <w:p>
      <w:pPr>
        <w:pStyle w:val="PR4"/>
        <w:numPr>
          <w:ilvl w:val="7"/>
          <w:numId w:val="1"/>
        </w:numPr>
        <w:rPr/>
      </w:pPr>
      <w:r>
        <w:rPr/>
        <w:t>Perform watts-loss test. Evaluate watts-loss values by comparison with similar units and test equipment manufacturer's published data.</w:t>
      </w:r>
    </w:p>
    <w:p>
      <w:pPr>
        <w:pStyle w:val="PR2"/>
        <w:numPr>
          <w:ilvl w:val="5"/>
          <w:numId w:val="1"/>
        </w:numPr>
        <w:spacing w:before="240" w:after="0"/>
        <w:rPr/>
      </w:pPr>
      <w:r>
        <w:rPr/>
        <w:t>Dry-Type Transformer Field Tests:</w:t>
      </w:r>
    </w:p>
    <w:p>
      <w:pPr>
        <w:pStyle w:val="PR3"/>
        <w:numPr>
          <w:ilvl w:val="6"/>
          <w:numId w:val="1"/>
        </w:numPr>
        <w:spacing w:before="240" w:after="0"/>
        <w:rPr/>
      </w:pPr>
      <w:r>
        <w:rPr/>
        <w:t>Visual and Mechanical Inspection:</w:t>
      </w:r>
    </w:p>
    <w:p>
      <w:pPr>
        <w:pStyle w:val="PR4"/>
        <w:numPr>
          <w:ilvl w:val="7"/>
          <w:numId w:val="1"/>
        </w:numPr>
        <w:spacing w:before="240" w:after="0"/>
        <w:rPr/>
      </w:pPr>
      <w:r>
        <w:rPr/>
        <w:t>Test dew point of tank gases if applicable.</w:t>
      </w:r>
    </w:p>
    <w:p>
      <w:pPr>
        <w:pStyle w:val="PR4"/>
        <w:numPr>
          <w:ilvl w:val="7"/>
          <w:numId w:val="1"/>
        </w:numPr>
        <w:rPr/>
      </w:pPr>
      <w:r>
        <w:rPr/>
        <w:t>Inspect anchorage, alignment, and grounding.</w:t>
      </w:r>
    </w:p>
    <w:p>
      <w:pPr>
        <w:pStyle w:val="PR4"/>
        <w:numPr>
          <w:ilvl w:val="7"/>
          <w:numId w:val="1"/>
        </w:numPr>
        <w:rPr/>
      </w:pPr>
      <w:r>
        <w:rPr/>
        <w:t>Verify that resilient mounts are free and that shipping brackets have been removed.</w:t>
      </w:r>
    </w:p>
    <w:p>
      <w:pPr>
        <w:pStyle w:val="PR4"/>
        <w:numPr>
          <w:ilvl w:val="7"/>
          <w:numId w:val="1"/>
        </w:numPr>
        <w:rPr/>
      </w:pPr>
      <w:r>
        <w:rPr/>
        <w:t>Verify bushings are clean.</w:t>
      </w:r>
    </w:p>
    <w:p>
      <w:pPr>
        <w:pStyle w:val="PR4"/>
        <w:numPr>
          <w:ilvl w:val="7"/>
          <w:numId w:val="1"/>
        </w:numPr>
        <w:rPr/>
      </w:pPr>
      <w:r>
        <w:rPr/>
        <w:t>Verify that alarm, control, and trip settings on temperature and level indicators are set and operate within manufacturer's recommended settings.</w:t>
      </w:r>
    </w:p>
    <w:p>
      <w:pPr>
        <w:pStyle w:val="PR4"/>
        <w:numPr>
          <w:ilvl w:val="7"/>
          <w:numId w:val="1"/>
        </w:numPr>
        <w:rPr/>
      </w:pPr>
      <w:r>
        <w:rPr/>
        <w:t>Verify that cooling fans operate correctly and have appropriate overcurrent protection.</w:t>
      </w:r>
    </w:p>
    <w:p>
      <w:pPr>
        <w:pStyle w:val="PR4"/>
        <w:numPr>
          <w:ilvl w:val="7"/>
          <w:numId w:val="1"/>
        </w:numPr>
        <w:rPr/>
      </w:pPr>
      <w:r>
        <w:rPr/>
        <w:t>Perform specific inspections and mechanical tests recommended by manufacturer.</w:t>
      </w:r>
    </w:p>
    <w:p>
      <w:pPr>
        <w:pStyle w:val="PR4"/>
        <w:numPr>
          <w:ilvl w:val="7"/>
          <w:numId w:val="1"/>
        </w:numPr>
        <w:rPr/>
      </w:pPr>
      <w:r>
        <w:rPr/>
        <w:t>Verify that as-left tap connections are as specified.</w:t>
      </w:r>
    </w:p>
    <w:p>
      <w:pPr>
        <w:pStyle w:val="PR3"/>
        <w:numPr>
          <w:ilvl w:val="6"/>
          <w:numId w:val="1"/>
        </w:numPr>
        <w:spacing w:before="240" w:after="0"/>
        <w:rPr/>
      </w:pPr>
      <w:r>
        <w:rPr/>
        <w:t>Electrical Tests:</w:t>
      </w:r>
    </w:p>
    <w:p>
      <w:pPr>
        <w:pStyle w:val="PR4"/>
        <w:numPr>
          <w:ilvl w:val="7"/>
          <w:numId w:val="1"/>
        </w:numPr>
        <w:spacing w:before="240" w:after="0"/>
        <w:rPr/>
      </w:pPr>
      <w:r>
        <w:rPr/>
        <w:t>Perform insulation-resistance tests winding-to-winding and each winding-to-ground. Apply voltage in accordance with manufacturer's published data. In the absence of manufacturer's published data, comply with NETA ATS, Table 100.5. Calculate polarization index; value of index may not be less than 1.0.</w:t>
      </w:r>
    </w:p>
    <w:p>
      <w:pPr>
        <w:pStyle w:val="PR4"/>
        <w:numPr>
          <w:ilvl w:val="7"/>
          <w:numId w:val="1"/>
        </w:numPr>
        <w:rPr/>
      </w:pPr>
      <w:r>
        <w:rPr/>
        <w:t>Perform power-factor or dissipation-factor tests on windings in accordance with test equipment manufacturer's published data.</w:t>
      </w:r>
    </w:p>
    <w:p>
      <w:pPr>
        <w:pStyle w:val="CMT"/>
        <w:rPr/>
      </w:pPr>
      <w:r>
        <w:rPr/>
        <w:t>Retain power-factor test in first subparagraph below if the importance of the load served by the transformer warrants. This is normally considered an optional test.</w:t>
      </w:r>
    </w:p>
    <w:p>
      <w:pPr>
        <w:pStyle w:val="PR4"/>
        <w:numPr>
          <w:ilvl w:val="7"/>
          <w:numId w:val="1"/>
        </w:numPr>
        <w:rPr/>
      </w:pPr>
      <w:r>
        <w:rPr/>
        <w:t>Perform power-factor or dissipation-factor tip-up test on windings greater than 2.5 kV.</w:t>
      </w:r>
    </w:p>
    <w:p>
      <w:pPr>
        <w:pStyle w:val="CMT"/>
        <w:rPr/>
      </w:pPr>
      <w:r>
        <w:rPr/>
        <w:t>Retain one or more of first four subparagraphs below if those tests are not included in "Source Quality Control" Article in Part 2. Turns-ratio, excitation-current, winding-resistance, and applied-voltage tests are normally considered optional field tests.</w:t>
      </w:r>
    </w:p>
    <w:p>
      <w:pPr>
        <w:pStyle w:val="PR4"/>
        <w:numPr>
          <w:ilvl w:val="7"/>
          <w:numId w:val="1"/>
        </w:numPr>
        <w:rPr/>
      </w:pPr>
      <w:r>
        <w:rPr/>
        <w:t>Perform turns-ratio tests at tap positions. Turns-ratio test results may not deviate by more than one-half percent from either adjacent coils or calculated ratio. If test fails, replace transformer.</w:t>
      </w:r>
    </w:p>
    <w:p>
      <w:pPr>
        <w:pStyle w:val="PR4"/>
        <w:numPr>
          <w:ilvl w:val="7"/>
          <w:numId w:val="1"/>
        </w:numPr>
        <w:rPr/>
      </w:pPr>
      <w:r>
        <w:rPr/>
        <w:t>Perform excitation-current test on each phase. The typical excitation-current test data pattern for three-legged core transformer is two similar current readings and one lower current reading. Investigate and correct if test shows different pattern.</w:t>
      </w:r>
    </w:p>
    <w:p>
      <w:pPr>
        <w:pStyle w:val="PR4"/>
        <w:numPr>
          <w:ilvl w:val="7"/>
          <w:numId w:val="1"/>
        </w:numPr>
        <w:rPr/>
      </w:pPr>
      <w:r>
        <w:rPr/>
        <w:t>Measure resistance of windings at tap connections, and record temperature-corrected winding-resistance values in Operations and Maintenance Manual.</w:t>
      </w:r>
    </w:p>
    <w:p>
      <w:pPr>
        <w:pStyle w:val="CMT"/>
        <w:rPr/>
      </w:pPr>
      <w:r>
        <w:rPr/>
        <w:t>The applied-voltage dielectric tests may be warranted by special circumstances. However, periodic dielectric tests are not recommended because of severe stress imposed on insulation. When field tests are made on a periodic basis, it is recommended that test voltages be limited to 65% of factory test values.</w:t>
      </w:r>
    </w:p>
    <w:p>
      <w:pPr>
        <w:pStyle w:val="PR4"/>
        <w:numPr>
          <w:ilvl w:val="7"/>
          <w:numId w:val="1"/>
        </w:numPr>
        <w:rPr/>
      </w:pPr>
      <w:r>
        <w:rPr/>
        <w:t>Perform applied-voltage test on high- and load-side windings-to-ground. Comply with IEEE C57.12.91 provisions for field-deployed dielectric teats. Measurements must be made only when voltage and current have reached stable value. Test must be discontinued immediately in the event current begins to increase without stabilizing. Record test values in Operations and Maintenance Manual.</w:t>
      </w:r>
    </w:p>
    <w:p>
      <w:pPr>
        <w:pStyle w:val="PR4"/>
        <w:numPr>
          <w:ilvl w:val="7"/>
          <w:numId w:val="1"/>
        </w:numPr>
        <w:rPr/>
      </w:pPr>
      <w:r>
        <w:rPr/>
        <w:t>Verify correct secondary voltage, phase-to-phase and phase-to-neutral, after energization and prior to loading.</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 xml:space="preserve">Nonconforming Work: </w:t>
      </w:r>
    </w:p>
    <w:p>
      <w:pPr>
        <w:pStyle w:val="PR2"/>
        <w:numPr>
          <w:ilvl w:val="5"/>
          <w:numId w:val="1"/>
        </w:numPr>
        <w:spacing w:before="240" w:after="0"/>
        <w:rPr/>
      </w:pPr>
      <w:r>
        <w:rPr/>
        <w:t>Equipment and devices will be considered defective if they do not pass tests and inspections.</w:t>
      </w:r>
    </w:p>
    <w:p>
      <w:pPr>
        <w:pStyle w:val="PR2"/>
        <w:numPr>
          <w:ilvl w:val="5"/>
          <w:numId w:val="1"/>
        </w:numPr>
        <w:rPr/>
      </w:pPr>
      <w:r>
        <w:rPr/>
        <w:t>Remove and replace malfunctioning units and retest.</w:t>
      </w:r>
    </w:p>
    <w:p>
      <w:pPr>
        <w:pStyle w:val="PR1"/>
        <w:numPr>
          <w:ilvl w:val="4"/>
          <w:numId w:val="1"/>
        </w:numPr>
        <w:rPr/>
      </w:pPr>
      <w:r>
        <w:rPr/>
        <w:t>Assemble and submit test and inspection reports. Record as-left set points of adjustable devices.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PR1"/>
        <w:numPr>
          <w:ilvl w:val="4"/>
          <w:numId w:val="1"/>
        </w:numPr>
        <w:rPr/>
      </w:pPr>
      <w:r>
        <w:rPr/>
        <w:t>Manufacturer Services:</w:t>
      </w:r>
    </w:p>
    <w:p>
      <w:pPr>
        <w:pStyle w:val="CMT"/>
        <w:rPr>
          <w:szCs w:val="22"/>
        </w:rPr>
      </w:pPr>
      <w:r>
        <w:rPr>
          <w:szCs w:val="22"/>
        </w:rPr>
        <w:t>Retain "supervise" option in subparagraph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FOLLOW-UP SERVICE</w:t>
      </w:r>
    </w:p>
    <w:p>
      <w:pPr>
        <w:pStyle w:val="PR1"/>
        <w:numPr>
          <w:ilvl w:val="4"/>
          <w:numId w:val="1"/>
        </w:numPr>
        <w:rPr/>
      </w:pPr>
      <w:r>
        <w:rPr/>
        <w:t>Voltage Monitoring and Adjusting: After Substantial Completion, if requested by Owner, but not more than six months after Final Acceptance, perform the following voltage monitoring:</w:t>
      </w:r>
    </w:p>
    <w:p>
      <w:pPr>
        <w:pStyle w:val="PR2"/>
        <w:numPr>
          <w:ilvl w:val="5"/>
          <w:numId w:val="1"/>
        </w:numPr>
        <w:spacing w:before="240" w:after="0"/>
        <w:rPr/>
      </w:pPr>
      <w:r>
        <w:rPr/>
        <w:t xml:space="preserve">During period of normal load cycles as evaluated by Owner, perform seven days of three-phase voltage recording at outgoing section of transformers. Use voltmeters with calibration traceable to National Institute of Science and Technology standards and with chart speed of not less than </w:t>
      </w:r>
      <w:r>
        <w:rPr>
          <w:rStyle w:val="IP"/>
        </w:rPr>
        <w:t>1 inch</w:t>
      </w:r>
      <w:r>
        <w:rPr>
          <w:rStyle w:val="SI"/>
        </w:rPr>
        <w:t xml:space="preserve"> (25 mm)</w:t>
      </w:r>
      <w:r>
        <w:rPr/>
        <w:t xml:space="preserve"> per hour. Voltage unbalance greater than 1 percent between phases, or deviation of phase voltage from nominal value by more than plus or minus 5 percent during test period, is unacceptable.</w:t>
      </w:r>
    </w:p>
    <w:p>
      <w:pPr>
        <w:pStyle w:val="PR2"/>
        <w:numPr>
          <w:ilvl w:val="5"/>
          <w:numId w:val="1"/>
        </w:numPr>
        <w:rPr/>
      </w:pPr>
      <w:r>
        <w:rPr/>
        <w:t>Corrective Action: If test results are unacceptable, perform the following corrective action, as appropriate:</w:t>
      </w:r>
    </w:p>
    <w:p>
      <w:pPr>
        <w:pStyle w:val="PR3"/>
        <w:numPr>
          <w:ilvl w:val="6"/>
          <w:numId w:val="1"/>
        </w:numPr>
        <w:spacing w:before="240" w:after="0"/>
        <w:rPr/>
      </w:pPr>
      <w:r>
        <w:rPr/>
        <w:t>Adjust transformer taps.</w:t>
      </w:r>
    </w:p>
    <w:p>
      <w:pPr>
        <w:pStyle w:val="PR3"/>
        <w:numPr>
          <w:ilvl w:val="6"/>
          <w:numId w:val="1"/>
        </w:numPr>
        <w:rPr/>
      </w:pPr>
      <w:r>
        <w:rPr/>
        <w:t>Prepare written request for voltage adjustment by electric utility.</w:t>
      </w:r>
    </w:p>
    <w:p>
      <w:pPr>
        <w:pStyle w:val="PR2"/>
        <w:numPr>
          <w:ilvl w:val="5"/>
          <w:numId w:val="1"/>
        </w:numPr>
        <w:spacing w:before="240" w:after="0"/>
        <w:rPr/>
      </w:pPr>
      <w:r>
        <w:rPr/>
        <w:t>Retests: Repeat monitoring, after corrective action is performed, until satisfactory results are obtained.</w:t>
      </w:r>
    </w:p>
    <w:p>
      <w:pPr>
        <w:pStyle w:val="PR2"/>
        <w:numPr>
          <w:ilvl w:val="5"/>
          <w:numId w:val="1"/>
        </w:numPr>
        <w:rPr/>
      </w:pPr>
      <w:r>
        <w:rPr/>
        <w:t>Report:</w:t>
      </w:r>
    </w:p>
    <w:p>
      <w:pPr>
        <w:pStyle w:val="PR3"/>
        <w:numPr>
          <w:ilvl w:val="6"/>
          <w:numId w:val="1"/>
        </w:numPr>
        <w:spacing w:before="240" w:after="0"/>
        <w:rPr/>
      </w:pPr>
      <w:r>
        <w:rPr/>
        <w:t>Prepare written report covering monitoring performed and corrective action taken.</w:t>
      </w:r>
    </w:p>
    <w:p>
      <w:pPr>
        <w:pStyle w:val="PR1"/>
        <w:numPr>
          <w:ilvl w:val="4"/>
          <w:numId w:val="1"/>
        </w:numPr>
        <w:rPr/>
      </w:pPr>
      <w:r>
        <w:rPr/>
        <w:t>Infrared Inspection: Perform survey during periods of maximum possible loading. Remove necessary covers prior to inspection.</w:t>
      </w:r>
    </w:p>
    <w:p>
      <w:pPr>
        <w:pStyle w:val="PR2"/>
        <w:numPr>
          <w:ilvl w:val="5"/>
          <w:numId w:val="1"/>
        </w:numPr>
        <w:spacing w:before="240" w:after="0"/>
        <w:rPr/>
      </w:pPr>
      <w:r>
        <w:rPr/>
        <w:t>After Substantial Completion, but not more than 60 days after Final Acceptance, perform infrared inspection of transformer's electrical power connections.</w:t>
      </w:r>
    </w:p>
    <w:p>
      <w:pPr>
        <w:pStyle w:val="PR2"/>
        <w:numPr>
          <w:ilvl w:val="5"/>
          <w:numId w:val="1"/>
        </w:numPr>
        <w:rPr/>
      </w:pPr>
      <w:r>
        <w:rPr/>
        <w:t>Instrument: Inspect distribution systems with imaging equipment capable of detecting a minimum temperature difference of 1 deg C at 30 deg C.</w:t>
      </w:r>
    </w:p>
    <w:p>
      <w:pPr>
        <w:pStyle w:val="PR2"/>
        <w:numPr>
          <w:ilvl w:val="5"/>
          <w:numId w:val="1"/>
        </w:numPr>
        <w:rPr/>
      </w:pPr>
      <w:r>
        <w:rPr/>
        <w:t>Record of Infrared Inspection: Prepare a certified report that identifies testing technician and equipment used, and lists results as follows:</w:t>
      </w:r>
    </w:p>
    <w:p>
      <w:pPr>
        <w:pStyle w:val="PR3"/>
        <w:numPr>
          <w:ilvl w:val="6"/>
          <w:numId w:val="1"/>
        </w:numPr>
        <w:spacing w:before="240" w:after="0"/>
        <w:rPr/>
      </w:pPr>
      <w:r>
        <w:rPr/>
        <w:t>Description of equipment to be tested.</w:t>
      </w:r>
    </w:p>
    <w:p>
      <w:pPr>
        <w:pStyle w:val="PR3"/>
        <w:numPr>
          <w:ilvl w:val="6"/>
          <w:numId w:val="1"/>
        </w:numPr>
        <w:rPr/>
      </w:pPr>
      <w:r>
        <w:rPr/>
        <w:t>Discrepancies.</w:t>
      </w:r>
    </w:p>
    <w:p>
      <w:pPr>
        <w:pStyle w:val="PR3"/>
        <w:numPr>
          <w:ilvl w:val="6"/>
          <w:numId w:val="1"/>
        </w:numPr>
        <w:rPr/>
      </w:pPr>
      <w:r>
        <w:rPr/>
        <w:t>Temperature difference between area of concern and reference area.</w:t>
      </w:r>
    </w:p>
    <w:p>
      <w:pPr>
        <w:pStyle w:val="PR3"/>
        <w:numPr>
          <w:ilvl w:val="6"/>
          <w:numId w:val="1"/>
        </w:numPr>
        <w:rPr/>
      </w:pPr>
      <w:r>
        <w:rPr/>
        <w:t>Probable cause of temperature difference.</w:t>
      </w:r>
    </w:p>
    <w:p>
      <w:pPr>
        <w:pStyle w:val="PR3"/>
        <w:numPr>
          <w:ilvl w:val="6"/>
          <w:numId w:val="1"/>
        </w:numPr>
        <w:rPr/>
      </w:pPr>
      <w:r>
        <w:rPr/>
        <w:t>Areas inspected. Identify inaccessible and unobservable areas and equipment.</w:t>
      </w:r>
    </w:p>
    <w:p>
      <w:pPr>
        <w:pStyle w:val="PR3"/>
        <w:numPr>
          <w:ilvl w:val="6"/>
          <w:numId w:val="1"/>
        </w:numPr>
        <w:rPr/>
      </w:pPr>
      <w:r>
        <w:rPr/>
        <w:t>Identify load conditions at time of inspection.</w:t>
      </w:r>
    </w:p>
    <w:p>
      <w:pPr>
        <w:pStyle w:val="PR3"/>
        <w:numPr>
          <w:ilvl w:val="6"/>
          <w:numId w:val="1"/>
        </w:numPr>
        <w:rPr/>
      </w:pPr>
      <w:r>
        <w:rPr/>
        <w:t>Provide photographs and thermograms of deficient area.</w:t>
      </w:r>
    </w:p>
    <w:p>
      <w:pPr>
        <w:pStyle w:val="PR2"/>
        <w:numPr>
          <w:ilvl w:val="5"/>
          <w:numId w:val="1"/>
        </w:numPr>
        <w:spacing w:before="240" w:after="0"/>
        <w:rPr/>
      </w:pPr>
      <w:r>
        <w:rPr/>
        <w:t>Act on inspection results in accordance with recommendations of NETA ATS, Table 100.18. Correct possible and probable deficiencies as soon as Owner's operations permit. Retest until deficiencies are corrected.</w:t>
      </w:r>
    </w:p>
    <w:p>
      <w:pPr>
        <w:pStyle w:val="EOS"/>
        <w:rPr/>
      </w:pPr>
      <w:r>
        <w:rPr/>
        <w:t>END OF SECTION 261216</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DRY-TYPE, MEDIUM-VOLTAGE TRANSFORMERS</w:t>
          </w:r>
        </w:p>
      </w:tc>
      <w:tc>
        <w:tcPr>
          <w:tcW w:w="1872" w:type="dxa"/>
          <w:tcBorders/>
        </w:tcPr>
        <w:p>
          <w:pPr>
            <w:pStyle w:val="RJUST"/>
            <w:rPr/>
          </w:pPr>
          <w:r>
            <w:rPr>
              <w:rStyle w:val="NUM"/>
            </w:rPr>
            <w:t>261216</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261216"/>
    <w:docVar w:name="MF95" w:val="16273"/>
    <w:docVar w:name="MFOrigin" w:val="MF04"/>
    <w:docVar w:name="SectionID" w:val="3042"/>
    <w:docVar w:name="SpecType" w:val="MasterSpec"/>
    <w:docVar w:name="Version" w:val="1555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BalloonTextChar">
    <w:name w:val="Balloon Text Char"/>
    <w:qFormat/>
    <w:rPr>
      <w:rFonts w:ascii="Segoe UI" w:hAnsi="Segoe UI" w:cs="Segoe UI"/>
      <w:sz w:val="18"/>
      <w:szCs w:val="18"/>
    </w:rPr>
  </w:style>
  <w:style w:type="character" w:styleId="PR1Char">
    <w:name w:val="PR1 Char"/>
    <w:qFormat/>
    <w:rPr>
      <w:sz w:val="22"/>
    </w:rPr>
  </w:style>
  <w:style w:type="character" w:styleId="PR2Char">
    <w:name w:val="PR2 Char"/>
    <w:qFormat/>
    <w:rPr>
      <w:sz w:val="22"/>
    </w:rPr>
  </w:style>
  <w:style w:type="character" w:styleId="SCTChar">
    <w:name w:val="SCT Char"/>
    <w:qFormat/>
    <w:rPr>
      <w:sz w:val="22"/>
    </w:rPr>
  </w:style>
  <w:style w:type="character" w:styleId="PR3Char">
    <w:name w:val="PR3 Char"/>
    <w:qFormat/>
    <w:rPr>
      <w:sz w:val="2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BalloonText">
    <w:name w:val="Balloon Text"/>
    <w:basedOn w:val="Normal"/>
    <w:qForma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1216&amp;ver=12-01-20&amp;format=FL&amp;sid=15553&amp;utm_source=MasterSpec&amp;utm_medium=Word" TargetMode="External"/><Relationship Id="rId3" Type="http://schemas.openxmlformats.org/officeDocument/2006/relationships/hyperlink" Target="http://www.specagent.com/LookUp/?ulid=9946&amp;mf=&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2022-09-26T03:34:00Z</dcterms:created>
  <dc:creator>Deltek, Inc.</dc:creator>
  <dc:description/>
  <cp:keywords>BAS-12345-MS80</cp:keywords>
  <dc:language>zh-CN</dc:language>
  <cp:lastModifiedBy>Janice Nacional</cp:lastModifiedBy>
  <dcterms:modified xsi:type="dcterms:W3CDTF">2022-09-26T03:34:00Z</dcterms:modified>
  <cp:revision>2</cp:revision>
  <dc:subject>DRY-TYPE, MEDIUM-VOLTAGE TRANSFORMERS</dc:subject>
  <dc:title>SECTION 261216 - DRY-TYPE, MEDIUM-VOLTAGE TRANSFORMERS</dc:title>
</cp:coreProperties>
</file>