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271100</w:t>
      </w:r>
      <w:r>
        <w:rPr/>
        <w:t xml:space="preserve"> - </w:t>
      </w:r>
      <w:r>
        <w:rPr>
          <w:rStyle w:val="NAM"/>
        </w:rPr>
        <w:t>COMMUNICATIONS EQUIPMENT ROOM FITTINGS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Backboards.</w:t>
      </w:r>
    </w:p>
    <w:p>
      <w:pPr>
        <w:pStyle w:val="PR2"/>
        <w:numPr>
          <w:ilvl w:val="5"/>
          <w:numId w:val="1"/>
        </w:numPr>
        <w:rPr/>
      </w:pPr>
      <w:r>
        <w:rPr/>
        <w:t>Boxes, enclosures, and cabinets.</w:t>
      </w:r>
    </w:p>
    <w:p>
      <w:pPr>
        <w:pStyle w:val="PR2"/>
        <w:numPr>
          <w:ilvl w:val="5"/>
          <w:numId w:val="1"/>
        </w:numPr>
        <w:rPr/>
      </w:pPr>
      <w:r>
        <w:rPr/>
        <w:t>Power strips.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270536 "Cable Trays for Communications Systems" for cable trays and accessories.</w:t>
      </w:r>
    </w:p>
    <w:p>
      <w:pPr>
        <w:pStyle w:val="PR2"/>
        <w:numPr>
          <w:ilvl w:val="5"/>
          <w:numId w:val="1"/>
        </w:numPr>
        <w:rPr/>
      </w:pPr>
      <w:r>
        <w:rPr/>
        <w:t>Section 271313 "Communications Copper Backbone Cabling" for copper data cabling associated with system panels and devices.</w:t>
      </w:r>
    </w:p>
    <w:p>
      <w:pPr>
        <w:pStyle w:val="PR2"/>
        <w:numPr>
          <w:ilvl w:val="5"/>
          <w:numId w:val="1"/>
        </w:numPr>
        <w:rPr/>
      </w:pPr>
      <w:r>
        <w:rPr/>
        <w:t>Section 271323 "Communications Optical Fiber Backbone Cabling" for optical-fiber data cabling associated with system panels and devices.</w:t>
      </w:r>
    </w:p>
    <w:p>
      <w:pPr>
        <w:pStyle w:val="PR2"/>
        <w:numPr>
          <w:ilvl w:val="5"/>
          <w:numId w:val="1"/>
        </w:numPr>
        <w:rPr/>
      </w:pPr>
      <w:r>
        <w:rPr/>
        <w:t>Section 271333 "Communications Coaxial Backbone Cabling" for coaxial data cabling associated with system panels and devices.</w:t>
      </w:r>
    </w:p>
    <w:p>
      <w:pPr>
        <w:pStyle w:val="PR2"/>
        <w:numPr>
          <w:ilvl w:val="5"/>
          <w:numId w:val="1"/>
        </w:numPr>
        <w:rPr/>
      </w:pPr>
      <w:r>
        <w:rPr/>
        <w:t>Section 271513 "Communications Copper Horizontal Cabling" for copper data cabling associated with system panels and devices.</w:t>
      </w:r>
    </w:p>
    <w:p>
      <w:pPr>
        <w:pStyle w:val="PR2"/>
        <w:numPr>
          <w:ilvl w:val="5"/>
          <w:numId w:val="1"/>
        </w:numPr>
        <w:rPr/>
      </w:pPr>
      <w:r>
        <w:rPr/>
        <w:t>Section 271523 "Communications Optical Fiber Horizontal Cabling" for coaxial data cabling associated with system panels and devices.</w:t>
      </w:r>
    </w:p>
    <w:p>
      <w:pPr>
        <w:pStyle w:val="PR2"/>
        <w:numPr>
          <w:ilvl w:val="5"/>
          <w:numId w:val="1"/>
        </w:numPr>
        <w:rPr/>
      </w:pPr>
      <w:r>
        <w:rPr/>
        <w:t>Section 271533 "Communications Coaxial Horizontal Cabling" for coaxial data cabling associated with system panels and devices.</w:t>
      </w:r>
    </w:p>
    <w:p>
      <w:pPr>
        <w:pStyle w:val="ART"/>
        <w:numPr>
          <w:ilvl w:val="3"/>
          <w:numId w:val="1"/>
        </w:numPr>
        <w:ind w:hanging="0" w:left="0"/>
        <w:rPr/>
      </w:pPr>
      <w:r>
        <w:rPr/>
        <w:t>DEFINITIONS</w:t>
      </w:r>
    </w:p>
    <w:p>
      <w:pPr>
        <w:pStyle w:val="CMT"/>
        <w:rPr/>
      </w:pPr>
      <w:r>
        <w:rPr/>
        <w:t>Retain terms that remain after this Section has been edited for a project. Definitions of "access provider" and "service provider" are derived from BICSI's "Telecommunications Distribution Methods Manual."</w:t>
      </w:r>
    </w:p>
    <w:p>
      <w:pPr>
        <w:pStyle w:val="PR1"/>
        <w:numPr>
          <w:ilvl w:val="4"/>
          <w:numId w:val="1"/>
        </w:numPr>
        <w:rPr/>
      </w:pPr>
      <w:r>
        <w:rPr/>
        <w:t>Access Provider: An operator that provides a circuit path or facility between the service provider and user. An access provider can also be a service provider.</w:t>
      </w:r>
    </w:p>
    <w:p>
      <w:pPr>
        <w:pStyle w:val="PR1"/>
        <w:numPr>
          <w:ilvl w:val="4"/>
          <w:numId w:val="1"/>
        </w:numPr>
        <w:rPr/>
      </w:pPr>
      <w:r>
        <w:rPr/>
        <w:t>BICSI: Building Industry Consulting Service International.</w:t>
      </w:r>
    </w:p>
    <w:p>
      <w:pPr>
        <w:pStyle w:val="PR1"/>
        <w:numPr>
          <w:ilvl w:val="4"/>
          <w:numId w:val="1"/>
        </w:numPr>
        <w:rPr/>
      </w:pPr>
      <w:r>
        <w:rPr/>
        <w:t>RCDD: Registered communications distribution designer.</w:t>
      </w:r>
    </w:p>
    <w:p>
      <w:pPr>
        <w:pStyle w:val="PR1"/>
        <w:numPr>
          <w:ilvl w:val="4"/>
          <w:numId w:val="1"/>
        </w:numPr>
        <w:rPr/>
      </w:pPr>
      <w:r>
        <w:rPr/>
        <w:t>Service Provider: The operator of a telecommunications transmission service delivered through access provider facilities.</w:t>
      </w:r>
    </w:p>
    <w:p>
      <w:pPr>
        <w:pStyle w:val="PR1"/>
        <w:numPr>
          <w:ilvl w:val="4"/>
          <w:numId w:val="1"/>
        </w:numPr>
        <w:rPr/>
      </w:pPr>
      <w:r>
        <w:rPr/>
        <w:t>TGB: Telecommunications grounding bus bar.</w:t>
      </w:r>
    </w:p>
    <w:p>
      <w:pPr>
        <w:pStyle w:val="PR1"/>
        <w:numPr>
          <w:ilvl w:val="4"/>
          <w:numId w:val="1"/>
        </w:numPr>
        <w:rPr/>
      </w:pPr>
      <w:r>
        <w:rPr/>
        <w:t>TMGB: Telecommunications main grounding bus bar.</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equipment racks and cabinets.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communications equipment room fittings. Include plans, elevations, sections, details, and attachments to other work.</w:t>
      </w:r>
    </w:p>
    <w:p>
      <w:pPr>
        <w:pStyle w:val="PR2"/>
        <w:numPr>
          <w:ilvl w:val="5"/>
          <w:numId w:val="1"/>
        </w:numPr>
        <w:spacing w:before="240" w:after="0"/>
        <w:rPr/>
      </w:pPr>
      <w:r>
        <w:rPr/>
        <w:t>Detail equipment assemblies and indicate dimensions, weights, loads, required clearances, method of field assembly, components, and location and size of each field connection.</w:t>
      </w:r>
    </w:p>
    <w:p>
      <w:pPr>
        <w:pStyle w:val="PR2"/>
        <w:numPr>
          <w:ilvl w:val="5"/>
          <w:numId w:val="1"/>
        </w:numPr>
        <w:rPr/>
      </w:pPr>
      <w:r>
        <w:rPr/>
        <w:t>Equipment Racks and Cabinets: Include workspace requirements and access for cable connections.</w:t>
      </w:r>
    </w:p>
    <w:p>
      <w:pPr>
        <w:pStyle w:val="PR2"/>
        <w:numPr>
          <w:ilvl w:val="5"/>
          <w:numId w:val="1"/>
        </w:numPr>
        <w:rPr/>
      </w:pPr>
      <w:r>
        <w:rPr/>
        <w:t>Grounding: Indicate location of grounding bus bar and its mounting detail showing standoff insulators and wall mounting brackets.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 </w:t>
      </w:r>
      <w:r>
        <w:rPr/>
        <w:t>]qualified layout technician, installation supervisor, and field inspector.</w:t>
      </w:r>
    </w:p>
    <w:p>
      <w:pPr>
        <w:pStyle w:val="CMT"/>
        <w:rPr/>
      </w:pPr>
      <w:r>
        <w:rPr/>
        <w:t>Retain "Seismic Qualification Data" Paragraph below if required by seismic criteria applicable to Project. Coordinate with Sections specifying telecommunications equipment supports and seismic controls. See ASCE/SEI 7 for certification requirements for equipment and components.</w:t>
      </w:r>
    </w:p>
    <w:p>
      <w:pPr>
        <w:pStyle w:val="PR1"/>
        <w:numPr>
          <w:ilvl w:val="4"/>
          <w:numId w:val="1"/>
        </w:numPr>
        <w:rPr/>
      </w:pPr>
      <w:r>
        <w:rPr/>
        <w:t>Seismic Qualification Data: Certificates,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 Base certification on the maximum number of components capable of being mounted in each rack type. Identify components on which certification is based.</w:t>
      </w:r>
    </w:p>
    <w:p>
      <w:pPr>
        <w:pStyle w:val="PR2"/>
        <w:numPr>
          <w:ilvl w:val="5"/>
          <w:numId w:val="1"/>
        </w:numPr>
        <w:rPr/>
      </w:pPr>
      <w:r>
        <w:rPr/>
        <w:t>Detailed description of equipment anchorage devices on which the certification is based and their installation requirements.</w:t>
      </w:r>
    </w:p>
    <w:p>
      <w:pPr>
        <w:pStyle w:val="ART"/>
        <w:numPr>
          <w:ilvl w:val="3"/>
          <w:numId w:val="1"/>
        </w:numPr>
        <w:ind w:hanging="0" w:left="0"/>
        <w:rPr/>
      </w:pPr>
      <w:r>
        <w:rPr/>
        <w:t>QUALITY ASSURANCE</w:t>
      </w:r>
    </w:p>
    <w:p>
      <w:pPr>
        <w:pStyle w:val="PR1"/>
        <w:numPr>
          <w:ilvl w:val="4"/>
          <w:numId w:val="1"/>
        </w:numPr>
        <w:rPr/>
      </w:pPr>
      <w:r>
        <w:rPr/>
        <w:t>Installer Qualifications: Cabling installer must have personnel certified by BICSI on staff.</w:t>
      </w:r>
    </w:p>
    <w:p>
      <w:pPr>
        <w:pStyle w:val="PR2"/>
        <w:numPr>
          <w:ilvl w:val="5"/>
          <w:numId w:val="1"/>
        </w:numPr>
        <w:spacing w:before="240" w:after="0"/>
        <w:rPr/>
      </w:pPr>
      <w:r>
        <w:rPr/>
        <w:t>Layout Responsibility: Preparation of Shop Drawings shall be under direct supervision of [</w:t>
      </w:r>
      <w:r>
        <w:rPr>
          <w:b/>
        </w:rPr>
        <w:t>RCDD</w:t>
      </w:r>
      <w:r>
        <w:rPr/>
        <w:t>] [</w:t>
      </w:r>
      <w:r>
        <w:rPr>
          <w:b/>
        </w:rPr>
        <w:t>Technician</w:t>
      </w:r>
      <w:r>
        <w:rPr/>
        <w:t>].</w:t>
      </w:r>
    </w:p>
    <w:p>
      <w:pPr>
        <w:pStyle w:val="PR2"/>
        <w:numPr>
          <w:ilvl w:val="5"/>
          <w:numId w:val="1"/>
        </w:numPr>
        <w:rPr/>
      </w:pPr>
      <w:r>
        <w:rPr/>
        <w:t>Installation Supervision: Installation shall be under direct supervision of [</w:t>
      </w:r>
      <w:r>
        <w:rPr>
          <w:b/>
        </w:rPr>
        <w:t>Technician</w:t>
      </w:r>
      <w:r>
        <w:rPr/>
        <w:t>] [</w:t>
      </w:r>
      <w:r>
        <w:rPr>
          <w:b/>
        </w:rPr>
        <w:t>Installer 2, Copper or Fiber</w:t>
      </w:r>
      <w:r>
        <w:rPr/>
        <w:t>], who shall be present at all times when Work of this Section is performed at Project site.</w:t>
      </w:r>
    </w:p>
    <w:p>
      <w:pPr>
        <w:pStyle w:val="PR2"/>
        <w:numPr>
          <w:ilvl w:val="5"/>
          <w:numId w:val="1"/>
        </w:numPr>
        <w:rPr/>
      </w:pPr>
      <w:r>
        <w:rPr/>
        <w:t>Field Inspector: Currently registered by BICSI as [</w:t>
      </w:r>
      <w:r>
        <w:rPr>
          <w:b/>
        </w:rPr>
        <w:t>RCDD</w:t>
      </w:r>
      <w:r>
        <w:rPr/>
        <w:t>] [</w:t>
      </w:r>
      <w:r>
        <w:rPr>
          <w:b/>
        </w:rPr>
        <w:t>Technician</w:t>
      </w:r>
      <w:r>
        <w:rPr/>
        <w:t>] to perform the on-site inspection.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or to require seismic-rated equipment.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Equipment shall withstand the effects of earthquake motions determined according to [</w:t>
      </w:r>
      <w:r>
        <w:rPr>
          <w:b/>
        </w:rPr>
        <w:t>ASCE/SEI 7</w:t>
      </w:r>
      <w:r>
        <w:rPr/>
        <w:t>] [</w:t>
      </w:r>
      <w:r>
        <w:rPr>
          <w:b/>
        </w:rPr>
        <w:t>Telcordia GR-63-CORE requirements for Zone 4 Seismic Earthquake Environments</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ART"/>
        <w:numPr>
          <w:ilvl w:val="3"/>
          <w:numId w:val="1"/>
        </w:numPr>
        <w:ind w:hanging="0" w:left="0"/>
        <w:rPr/>
      </w:pPr>
      <w:r>
        <w:rPr/>
        <w:t>BACKBOARDS</w:t>
      </w:r>
    </w:p>
    <w:p>
      <w:pPr>
        <w:pStyle w:val="PR1"/>
        <w:numPr>
          <w:ilvl w:val="4"/>
          <w:numId w:val="1"/>
        </w:numPr>
        <w:rPr/>
      </w:pPr>
      <w:r>
        <w:rPr/>
        <w:t>Backboards: Plywood, [</w:t>
      </w:r>
      <w:r>
        <w:rPr>
          <w:b/>
        </w:rPr>
        <w:t>fire-retardant treated, </w:t>
      </w:r>
      <w:r>
        <w:rPr/>
        <w:t>]</w:t>
      </w:r>
      <w:r>
        <w:rPr>
          <w:rStyle w:val="IP"/>
        </w:rPr>
        <w:t>3/4 by 48 by 96 inches</w:t>
      </w:r>
      <w:r>
        <w:rPr>
          <w:rStyle w:val="SI"/>
        </w:rPr>
        <w:t xml:space="preserve"> (19 by 1220 by 2440 mm)</w:t>
      </w:r>
      <w:r>
        <w:rPr/>
        <w:t>.</w:t>
      </w:r>
    </w:p>
    <w:p>
      <w:pPr>
        <w:pStyle w:val="PR1"/>
        <w:numPr>
          <w:ilvl w:val="4"/>
          <w:numId w:val="1"/>
        </w:numPr>
        <w:rPr/>
      </w:pPr>
      <w:r>
        <w:rPr/>
        <w:t>Backboard Paint: [</w:t>
      </w:r>
      <w:r>
        <w:rPr>
          <w:b/>
        </w:rPr>
        <w:t>Pre-painted</w:t>
      </w:r>
      <w:r>
        <w:rPr/>
        <w:t>] [</w:t>
      </w:r>
      <w:r>
        <w:rPr>
          <w:b/>
        </w:rPr>
        <w:t>Light-colored fire-retardant paint</w:t>
      </w:r>
      <w:r>
        <w:rPr/>
        <w:t>] [</w:t>
      </w:r>
      <w:r>
        <w:rPr>
          <w:b/>
        </w:rPr>
        <w:t>Light-colored interior latex paint</w:t>
      </w:r>
      <w:r>
        <w:rPr/>
        <w:t>].</w:t>
      </w:r>
    </w:p>
    <w:p>
      <w:pPr>
        <w:pStyle w:val="CMT"/>
        <w:rPr/>
      </w:pPr>
      <w:r>
        <w:rPr/>
        <w:t>For 19-inch- and 23-inch-wide racks, frames, and enclosures, see Section 271116 "Communications Racks, Frames, and Enclosures."</w:t>
      </w:r>
    </w:p>
    <w:p>
      <w:pPr>
        <w:pStyle w:val="ART"/>
        <w:numPr>
          <w:ilvl w:val="3"/>
          <w:numId w:val="1"/>
        </w:numPr>
        <w:ind w:hanging="0" w:left="0"/>
        <w:rPr/>
      </w:pPr>
      <w:r>
        <w:rPr/>
        <w:t>BOXES, ENCLOSURES, AND CABINETS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General Requirements for Boxes, Enclosures, and Cabinets: Boxes, enclosures, and cabinets shall be listed and labeled for intended location and use.</w:t>
      </w:r>
    </w:p>
    <w:p>
      <w:pPr>
        <w:pStyle w:val="PR1"/>
        <w:numPr>
          <w:ilvl w:val="4"/>
          <w:numId w:val="1"/>
        </w:numPr>
        <w:rPr/>
      </w:pPr>
      <w:r>
        <w:rPr/>
        <w:t>Sheet Metal Outlet and Device Boxes: Comply with NEMA OS 1 and UL 514A.</w:t>
      </w:r>
    </w:p>
    <w:p>
      <w:pPr>
        <w:pStyle w:val="CMT"/>
        <w:rPr/>
      </w:pPr>
      <w:r>
        <w:rPr/>
        <w:t>In "Cast-Metal Outlet and Device Boxes" Paragraph below, aluminum boxes are suitable for use with steel raceways in most environments. Type FD is a device box with extra depth. Many other configurations are available.</w:t>
      </w:r>
    </w:p>
    <w:p>
      <w:pPr>
        <w:pStyle w:val="PR1"/>
        <w:numPr>
          <w:ilvl w:val="4"/>
          <w:numId w:val="1"/>
        </w:numPr>
        <w:rPr/>
      </w:pPr>
      <w:r>
        <w:rPr/>
        <w:t>Cast-Metal Outlet and Device Boxes: Comply with NEMA FB 1, Type FD, [</w:t>
      </w:r>
      <w:r>
        <w:rPr>
          <w:b/>
        </w:rPr>
        <w:t>ferrous alloy</w:t>
      </w:r>
      <w:r>
        <w:rPr/>
        <w:t>] [</w:t>
      </w:r>
      <w:r>
        <w:rPr>
          <w:b/>
        </w:rPr>
        <w:t>aluminum</w:t>
      </w:r>
      <w:r>
        <w:rPr/>
        <w:t>], with gasketed cover.</w:t>
      </w:r>
    </w:p>
    <w:p>
      <w:pPr>
        <w:pStyle w:val="PR1"/>
        <w:numPr>
          <w:ilvl w:val="4"/>
          <w:numId w:val="1"/>
        </w:numPr>
        <w:rPr/>
      </w:pPr>
      <w:r>
        <w:rPr/>
        <w:t>Nonmetallic Outlet and Device Boxes: Comply with NEMA OS 2 and UL 514C.</w:t>
      </w:r>
    </w:p>
    <w:p>
      <w:pPr>
        <w:pStyle w:val="PR1"/>
        <w:numPr>
          <w:ilvl w:val="4"/>
          <w:numId w:val="1"/>
        </w:numPr>
        <w:rPr/>
      </w:pPr>
      <w:r>
        <w:rPr/>
        <w:t>Small Sheet Metal Pull and Junction Boxes: NEMA OS 1.</w:t>
      </w:r>
    </w:p>
    <w:p>
      <w:pPr>
        <w:pStyle w:val="PR1"/>
        <w:numPr>
          <w:ilvl w:val="4"/>
          <w:numId w:val="1"/>
        </w:numPr>
        <w:rPr/>
      </w:pPr>
      <w:r>
        <w:rPr/>
        <w:t>Cast-Metal Access, Pull, and Junction Boxes: Comply with NEMA FB 1 and UL 1773, [</w:t>
      </w:r>
      <w:r>
        <w:rPr>
          <w:b/>
        </w:rPr>
        <w:t>cast aluminum</w:t>
      </w:r>
      <w:r>
        <w:rPr/>
        <w:t>] [</w:t>
      </w:r>
      <w:r>
        <w:rPr>
          <w:b/>
        </w:rPr>
        <w:t>galvanized cast iron</w:t>
      </w:r>
      <w:r>
        <w:rPr/>
        <w:t>] with gasketed cover.</w:t>
      </w:r>
    </w:p>
    <w:p>
      <w:pPr>
        <w:pStyle w:val="PR1"/>
        <w:numPr>
          <w:ilvl w:val="4"/>
          <w:numId w:val="1"/>
        </w:numPr>
        <w:rPr/>
      </w:pPr>
      <w:r>
        <w:rPr/>
        <w:t>Box extensions used to accommodate new building finishes shall be of same material as recessed box.</w:t>
      </w:r>
    </w:p>
    <w:p>
      <w:pPr>
        <w:pStyle w:val="PR1"/>
        <w:numPr>
          <w:ilvl w:val="4"/>
          <w:numId w:val="1"/>
        </w:numPr>
        <w:rPr/>
      </w:pPr>
      <w:r>
        <w:rPr/>
        <w:t>Device Box Dimensions: [</w:t>
      </w:r>
      <w:r>
        <w:rPr>
          <w:rStyle w:val="IP"/>
          <w:b/>
        </w:rPr>
        <w:t>4 inches square by 2-1/8 inches deep</w:t>
      </w:r>
      <w:r>
        <w:rPr>
          <w:rStyle w:val="SI"/>
          <w:b/>
        </w:rPr>
        <w:t xml:space="preserve"> (100 mm square by 60 mm deep)</w:t>
      </w:r>
      <w:r>
        <w:rPr/>
        <w:t>] [</w:t>
      </w:r>
      <w:r>
        <w:rPr>
          <w:rStyle w:val="IP"/>
          <w:b/>
        </w:rPr>
        <w:t>4 inches by 2-1/8 inches by 2-1/8 inches deep</w:t>
      </w:r>
      <w:r>
        <w:rPr>
          <w:rStyle w:val="SI"/>
          <w:b/>
        </w:rPr>
        <w:t xml:space="preserve"> (100 mm by 60 mm by 60 mm deep)</w:t>
      </w:r>
      <w:r>
        <w:rPr/>
        <w:t>] &lt;</w:t>
      </w:r>
      <w:r>
        <w:rPr>
          <w:b/>
        </w:rPr>
        <w:t>Insert dimension</w:t>
      </w:r>
      <w:r>
        <w:rPr/>
        <w:t>&gt;.</w:t>
      </w:r>
    </w:p>
    <w:p>
      <w:pPr>
        <w:pStyle w:val="CMT"/>
        <w:rPr/>
      </w:pPr>
      <w:r>
        <w:rPr/>
        <w:t>Coordinate "Hinged-Cover Enclosures" Paragraph below with Drawings, if hinged-cover enclosures other than NEMA 250, Type 1 are required, such as for very dusty areas, or if consideration should be given to use of NEMA 250, Type 3R or Type 12 enclosures.</w:t>
      </w:r>
    </w:p>
    <w:p>
      <w:pPr>
        <w:pStyle w:val="PR1"/>
        <w:numPr>
          <w:ilvl w:val="4"/>
          <w:numId w:val="1"/>
        </w:numPr>
        <w:rPr/>
      </w:pPr>
      <w:r>
        <w:rPr/>
        <w:t>Hinged-Cover Enclosures: Comply with UL 50 and NEMA 250, [</w:t>
      </w:r>
      <w:r>
        <w:rPr>
          <w:b/>
        </w:rPr>
        <w:t>Type 1</w:t>
      </w:r>
      <w:r>
        <w:rPr/>
        <w:t>] [</w:t>
      </w:r>
      <w:r>
        <w:rPr>
          <w:b/>
        </w:rPr>
        <w:t>Type 3R</w:t>
      </w:r>
      <w:r>
        <w:rPr/>
        <w:t>] [</w:t>
      </w:r>
      <w:r>
        <w:rPr>
          <w:b/>
        </w:rPr>
        <w:t>Type 4</w:t>
      </w:r>
      <w:r>
        <w:rPr/>
        <w:t>] [</w:t>
      </w:r>
      <w:r>
        <w:rPr>
          <w:b/>
        </w:rPr>
        <w:t>Type 12</w:t>
      </w:r>
      <w:r>
        <w:rPr/>
        <w:t>] &lt;</w:t>
      </w:r>
      <w:r>
        <w:rPr>
          <w:b/>
        </w:rPr>
        <w:t>Insert type</w:t>
      </w:r>
      <w:r>
        <w:rPr/>
        <w:t>&gt; with continuous-hinge cover with flush latch unless otherwise indicated.</w:t>
      </w:r>
    </w:p>
    <w:p>
      <w:pPr>
        <w:pStyle w:val="PR2"/>
        <w:numPr>
          <w:ilvl w:val="5"/>
          <w:numId w:val="1"/>
        </w:numPr>
        <w:spacing w:before="240" w:after="0"/>
        <w:rPr/>
      </w:pPr>
      <w:r>
        <w:rPr/>
        <w:t>Metal Enclosures: Steel, finished inside and out with manufacturer's standard enamel.</w:t>
      </w:r>
    </w:p>
    <w:p>
      <w:pPr>
        <w:pStyle w:val="PR2"/>
        <w:numPr>
          <w:ilvl w:val="5"/>
          <w:numId w:val="1"/>
        </w:numPr>
        <w:rPr/>
      </w:pPr>
      <w:r>
        <w:rPr/>
        <w:t>Nonmetallic Enclosures: [</w:t>
      </w:r>
      <w:r>
        <w:rPr>
          <w:b/>
        </w:rPr>
        <w:t>Plastic</w:t>
      </w:r>
      <w:r>
        <w:rPr/>
        <w:t>] [</w:t>
      </w:r>
      <w:r>
        <w:rPr>
          <w:b/>
        </w:rPr>
        <w:t>Fiberglass</w:t>
      </w:r>
      <w:r>
        <w:rPr/>
        <w:t>].</w:t>
      </w:r>
    </w:p>
    <w:p>
      <w:pPr>
        <w:pStyle w:val="PR2"/>
        <w:numPr>
          <w:ilvl w:val="5"/>
          <w:numId w:val="1"/>
        </w:numPr>
        <w:rPr/>
      </w:pPr>
      <w:r>
        <w:rPr/>
        <w:t>Interior Panels: Steel; all sides finished with manufacturer's standard enamel.</w:t>
      </w:r>
    </w:p>
    <w:p>
      <w:pPr>
        <w:pStyle w:val="PR1"/>
        <w:numPr>
          <w:ilvl w:val="4"/>
          <w:numId w:val="1"/>
        </w:numPr>
        <w:rPr/>
      </w:pPr>
      <w:r>
        <w:rPr/>
        <w:t>Cabinets:</w:t>
      </w:r>
    </w:p>
    <w:p>
      <w:pPr>
        <w:pStyle w:val="PR2"/>
        <w:numPr>
          <w:ilvl w:val="5"/>
          <w:numId w:val="1"/>
        </w:numPr>
        <w:spacing w:before="240" w:after="0"/>
        <w:rPr/>
      </w:pPr>
      <w:r>
        <w:rPr/>
        <w:t>NEMA 250, [</w:t>
      </w:r>
      <w:r>
        <w:rPr>
          <w:b/>
        </w:rPr>
        <w:t>Type 1</w:t>
      </w:r>
      <w:r>
        <w:rPr/>
        <w:t>] [</w:t>
      </w:r>
      <w:r>
        <w:rPr>
          <w:b/>
        </w:rPr>
        <w:t>Type 3R</w:t>
      </w:r>
      <w:r>
        <w:rPr/>
        <w:t>] [</w:t>
      </w:r>
      <w:r>
        <w:rPr>
          <w:b/>
        </w:rPr>
        <w:t>Type 12</w:t>
      </w:r>
      <w:r>
        <w:rPr/>
        <w:t>] &lt;</w:t>
      </w:r>
      <w:r>
        <w:rPr>
          <w:b/>
        </w:rPr>
        <w:t>Insert type</w:t>
      </w:r>
      <w:r>
        <w:rPr/>
        <w:t>&gt; galvanized-steel box with removable interior panel and removable front, finished inside and out with manufacturer's standard enamel.</w:t>
      </w:r>
    </w:p>
    <w:p>
      <w:pPr>
        <w:pStyle w:val="PR2"/>
        <w:numPr>
          <w:ilvl w:val="5"/>
          <w:numId w:val="1"/>
        </w:numPr>
        <w:rPr/>
      </w:pPr>
      <w:r>
        <w:rPr/>
        <w:t>Hinged door in front cover with flush latch and concealed hinge.</w:t>
      </w:r>
    </w:p>
    <w:p>
      <w:pPr>
        <w:pStyle w:val="PR2"/>
        <w:numPr>
          <w:ilvl w:val="5"/>
          <w:numId w:val="1"/>
        </w:numPr>
        <w:rPr/>
      </w:pPr>
      <w:r>
        <w:rPr/>
        <w:t>Key latch to match panelboards.</w:t>
      </w:r>
    </w:p>
    <w:p>
      <w:pPr>
        <w:pStyle w:val="PR2"/>
        <w:numPr>
          <w:ilvl w:val="5"/>
          <w:numId w:val="1"/>
        </w:numPr>
        <w:rPr/>
      </w:pPr>
      <w:r>
        <w:rPr/>
        <w:t>Metal barriers to separate wiring of different systems and voltage.</w:t>
      </w:r>
    </w:p>
    <w:p>
      <w:pPr>
        <w:pStyle w:val="PR2"/>
        <w:numPr>
          <w:ilvl w:val="5"/>
          <w:numId w:val="1"/>
        </w:numPr>
        <w:rPr/>
      </w:pPr>
      <w:r>
        <w:rPr/>
        <w:t>Accessory feet where required for freestanding equipment.</w:t>
      </w:r>
    </w:p>
    <w:p>
      <w:pPr>
        <w:pStyle w:val="PR2"/>
        <w:numPr>
          <w:ilvl w:val="5"/>
          <w:numId w:val="1"/>
        </w:numPr>
        <w:rPr/>
      </w:pPr>
      <w:r>
        <w:rPr/>
        <w:t>Nonmetallic cabinets shall be listed and labeled as defined in NFPA 70, by a qualified testing agency, and marked for intended location and application.</w:t>
      </w:r>
    </w:p>
    <w:p>
      <w:pPr>
        <w:pStyle w:val="ART"/>
        <w:numPr>
          <w:ilvl w:val="3"/>
          <w:numId w:val="1"/>
        </w:numPr>
        <w:ind w:hanging="0" w:left="0"/>
        <w:rPr/>
      </w:pPr>
      <w:r>
        <w:rPr/>
        <w:t>POWER STRIPS</w:t>
      </w:r>
    </w:p>
    <w:p>
      <w:pPr>
        <w:pStyle w:val="CMT"/>
        <w:rPr/>
      </w:pPr>
      <w:r>
        <w:rPr/>
        <w:t>Retain one of two paragraphs below.</w:t>
      </w:r>
    </w:p>
    <w:p>
      <w:pPr>
        <w:pStyle w:val="PR1"/>
        <w:numPr>
          <w:ilvl w:val="4"/>
          <w:numId w:val="1"/>
        </w:numPr>
        <w:rPr/>
      </w:pPr>
      <w:r>
        <w:rPr/>
        <w:t>Comply with requirements in Section 271116 "Communications Racks, Frames, and Enclosures."</w:t>
      </w:r>
    </w:p>
    <w:p>
      <w:pPr>
        <w:pStyle w:val="PR1"/>
        <w:numPr>
          <w:ilvl w:val="4"/>
          <w:numId w:val="1"/>
        </w:numPr>
        <w:rPr/>
      </w:pPr>
      <w:r>
        <w:rPr/>
        <w:t>Power Strips: Comply with UL 1363.</w:t>
      </w:r>
    </w:p>
    <w:p>
      <w:pPr>
        <w:pStyle w:val="PR2"/>
        <w:numPr>
          <w:ilvl w:val="5"/>
          <w:numId w:val="1"/>
        </w:numPr>
        <w:spacing w:before="240" w:after="0"/>
        <w:rPr/>
      </w:pPr>
      <w:r>
        <w:rPr/>
        <w:t>Listed and labeled as defined in NFPA 70, by a qualified testing agency, and marked for intended location and application.</w:t>
      </w:r>
    </w:p>
    <w:p>
      <w:pPr>
        <w:pStyle w:val="PR2"/>
        <w:numPr>
          <w:ilvl w:val="5"/>
          <w:numId w:val="1"/>
        </w:numPr>
        <w:rPr/>
      </w:pPr>
      <w:r>
        <w:rPr/>
        <w:t>Rack mounting, with [</w:t>
      </w:r>
      <w:r>
        <w:rPr>
          <w:b/>
        </w:rPr>
        <w:t>detachable</w:t>
      </w:r>
      <w:r>
        <w:rPr/>
        <w:t>] [</w:t>
      </w:r>
      <w:r>
        <w:rPr>
          <w:b/>
        </w:rPr>
        <w:t>integral</w:t>
      </w:r>
      <w:r>
        <w:rPr/>
        <w:t>] flanges.</w:t>
      </w:r>
    </w:p>
    <w:p>
      <w:pPr>
        <w:pStyle w:val="PR2"/>
        <w:numPr>
          <w:ilvl w:val="5"/>
          <w:numId w:val="1"/>
        </w:numPr>
        <w:rPr/>
      </w:pPr>
      <w:r>
        <w:rPr/>
        <w:t>Height: [</w:t>
      </w:r>
      <w:r>
        <w:rPr>
          <w:b/>
        </w:rPr>
        <w:t>1 RU</w:t>
      </w:r>
      <w:r>
        <w:rPr/>
        <w:t>]. &lt;</w:t>
      </w:r>
      <w:r>
        <w:rPr>
          <w:b/>
        </w:rPr>
        <w:t>Insert value</w:t>
      </w:r>
      <w:r>
        <w:rPr/>
        <w:t>&gt;.</w:t>
      </w:r>
    </w:p>
    <w:p>
      <w:pPr>
        <w:pStyle w:val="PR2"/>
        <w:numPr>
          <w:ilvl w:val="5"/>
          <w:numId w:val="1"/>
        </w:numPr>
        <w:rPr/>
      </w:pPr>
      <w:r>
        <w:rPr/>
        <w:t>Housing: [</w:t>
      </w:r>
      <w:r>
        <w:rPr>
          <w:b/>
        </w:rPr>
        <w:t>Metal</w:t>
      </w:r>
      <w:r>
        <w:rPr/>
        <w:t>] &lt;</w:t>
      </w:r>
      <w:r>
        <w:rPr>
          <w:b/>
        </w:rPr>
        <w:t>Insert material</w:t>
      </w:r>
      <w:r>
        <w:rPr/>
        <w:t>&gt;.</w:t>
      </w:r>
    </w:p>
    <w:p>
      <w:pPr>
        <w:pStyle w:val="PR2"/>
        <w:numPr>
          <w:ilvl w:val="5"/>
          <w:numId w:val="1"/>
        </w:numPr>
        <w:rPr/>
      </w:pPr>
      <w:r>
        <w:rPr/>
        <w:t>[</w:t>
      </w:r>
      <w:r>
        <w:rPr>
          <w:b/>
        </w:rPr>
        <w:t>Six</w:t>
      </w:r>
      <w:r>
        <w:rPr/>
        <w:t>] &lt;</w:t>
      </w:r>
      <w:r>
        <w:rPr>
          <w:b/>
        </w:rPr>
        <w:t>Insert number</w:t>
      </w:r>
      <w:r>
        <w:rPr/>
        <w:t>&gt;, [</w:t>
      </w:r>
      <w:r>
        <w:rPr>
          <w:b/>
        </w:rPr>
        <w:t>15-A, 120-V ac, NEMA WD 6, Configuration 5-15R</w:t>
      </w:r>
      <w:r>
        <w:rPr/>
        <w:t>] [</w:t>
      </w:r>
      <w:r>
        <w:rPr>
          <w:b/>
        </w:rPr>
        <w:t>20-A, 120-V ac, NEMA WD 6, Configuration 5-20R</w:t>
      </w:r>
      <w:r>
        <w:rPr/>
        <w:t>] receptacles.</w:t>
      </w:r>
    </w:p>
    <w:p>
      <w:pPr>
        <w:pStyle w:val="PR2"/>
        <w:numPr>
          <w:ilvl w:val="5"/>
          <w:numId w:val="1"/>
        </w:numPr>
        <w:rPr/>
      </w:pPr>
      <w:r>
        <w:rPr/>
        <w:t>[</w:t>
      </w:r>
      <w:r>
        <w:rPr>
          <w:b/>
        </w:rPr>
        <w:t>Front</w:t>
      </w:r>
      <w:r>
        <w:rPr/>
        <w:t>] [</w:t>
      </w:r>
      <w:r>
        <w:rPr>
          <w:b/>
        </w:rPr>
        <w:t>Rear</w:t>
      </w:r>
      <w:r>
        <w:rPr/>
        <w:t>]-facing receptacles.</w:t>
      </w:r>
    </w:p>
    <w:p>
      <w:pPr>
        <w:pStyle w:val="PR2"/>
        <w:numPr>
          <w:ilvl w:val="5"/>
          <w:numId w:val="1"/>
        </w:numPr>
        <w:rPr/>
      </w:pPr>
      <w:r>
        <w:rPr/>
        <w:t>LED indicator lights for power and protection status.</w:t>
      </w:r>
    </w:p>
    <w:p>
      <w:pPr>
        <w:pStyle w:val="PR2"/>
        <w:numPr>
          <w:ilvl w:val="5"/>
          <w:numId w:val="1"/>
        </w:numPr>
        <w:rPr/>
      </w:pPr>
      <w:r>
        <w:rPr/>
        <w:t>LED indicator lights for reverse polarity and open outlet ground.</w:t>
      </w:r>
    </w:p>
    <w:p>
      <w:pPr>
        <w:pStyle w:val="PR2"/>
        <w:numPr>
          <w:ilvl w:val="5"/>
          <w:numId w:val="1"/>
        </w:numPr>
        <w:rPr/>
      </w:pPr>
      <w:r>
        <w:rPr/>
        <w:t>Circuit Breaker and Thermal Fusing:</w:t>
      </w:r>
    </w:p>
    <w:p>
      <w:pPr>
        <w:pStyle w:val="CMT"/>
        <w:rPr/>
      </w:pPr>
      <w:r>
        <w:rPr/>
        <w:t>Retain one of first two subparagraphs below.</w:t>
      </w:r>
    </w:p>
    <w:p>
      <w:pPr>
        <w:pStyle w:val="PR3"/>
        <w:numPr>
          <w:ilvl w:val="6"/>
          <w:numId w:val="1"/>
        </w:numPr>
        <w:spacing w:before="240" w:after="0"/>
        <w:rPr/>
      </w:pPr>
      <w:r>
        <w:rPr/>
        <w:t>When protection is lost, circuit opens and cannot be reset.</w:t>
      </w:r>
    </w:p>
    <w:p>
      <w:pPr>
        <w:pStyle w:val="PR3"/>
        <w:numPr>
          <w:ilvl w:val="6"/>
          <w:numId w:val="1"/>
        </w:numPr>
        <w:rPr/>
      </w:pPr>
      <w:r>
        <w:rPr/>
        <w:t>Unit continues to supply power if protection is lost.</w:t>
      </w:r>
    </w:p>
    <w:p>
      <w:pPr>
        <w:pStyle w:val="PR2"/>
        <w:numPr>
          <w:ilvl w:val="5"/>
          <w:numId w:val="1"/>
        </w:numPr>
        <w:spacing w:before="240" w:after="0"/>
        <w:rPr/>
      </w:pPr>
      <w:r>
        <w:rPr/>
        <w:t>[</w:t>
      </w:r>
      <w:r>
        <w:rPr>
          <w:b/>
        </w:rPr>
        <w:t>Close-coupled, direct plug-in</w:t>
      </w:r>
      <w:r>
        <w:rPr/>
        <w:t>] [</w:t>
      </w:r>
      <w:r>
        <w:rPr>
          <w:b/>
        </w:rPr>
        <w:t xml:space="preserve">Cord connected with </w:t>
      </w:r>
      <w:r>
        <w:rPr>
          <w:rStyle w:val="IP"/>
          <w:b/>
        </w:rPr>
        <w:t>15-foot</w:t>
      </w:r>
      <w:r>
        <w:rPr>
          <w:rStyle w:val="SI"/>
          <w:b/>
        </w:rPr>
        <w:t xml:space="preserve"> (4.5-m)</w:t>
      </w:r>
      <w:r>
        <w:rPr/>
        <w:t>] line cord.</w:t>
      </w:r>
    </w:p>
    <w:p>
      <w:pPr>
        <w:pStyle w:val="PR2"/>
        <w:numPr>
          <w:ilvl w:val="5"/>
          <w:numId w:val="1"/>
        </w:numPr>
        <w:rPr/>
      </w:pPr>
      <w:r>
        <w:rPr/>
        <w:t>Rocker-type on-off switch, illuminated when in on position.</w:t>
      </w:r>
    </w:p>
    <w:p>
      <w:pPr>
        <w:pStyle w:val="CMT"/>
        <w:rPr/>
      </w:pPr>
      <w:r>
        <w:rPr/>
        <w:t>Retain subparagraphs below if power strips contain surge protection.</w:t>
      </w:r>
    </w:p>
    <w:p>
      <w:pPr>
        <w:pStyle w:val="PR2"/>
        <w:numPr>
          <w:ilvl w:val="5"/>
          <w:numId w:val="1"/>
        </w:numPr>
        <w:rPr/>
      </w:pPr>
      <w:r>
        <w:rPr/>
        <w:t>Surge Protection: UL 1449, Type 3.</w:t>
      </w:r>
    </w:p>
    <w:p>
      <w:pPr>
        <w:pStyle w:val="PR3"/>
        <w:numPr>
          <w:ilvl w:val="6"/>
          <w:numId w:val="1"/>
        </w:numPr>
        <w:spacing w:before="240" w:after="0"/>
        <w:rPr/>
      </w:pPr>
      <w:r>
        <w:rPr/>
        <w:t>Maximum Surge Current, Line to Neutral: [</w:t>
      </w:r>
      <w:r>
        <w:rPr>
          <w:b/>
        </w:rPr>
        <w:t>27 kA</w:t>
      </w:r>
      <w:r>
        <w:rPr/>
        <w:t>] [</w:t>
      </w:r>
      <w:r>
        <w:rPr>
          <w:b/>
        </w:rPr>
        <w:t>72 kA</w:t>
      </w:r>
      <w:r>
        <w:rPr/>
        <w:t>] &lt;</w:t>
      </w:r>
      <w:r>
        <w:rPr>
          <w:b/>
        </w:rPr>
        <w:t>Insert value</w:t>
      </w:r>
      <w:r>
        <w:rPr/>
        <w:t>&gt;.</w:t>
      </w:r>
    </w:p>
    <w:p>
      <w:pPr>
        <w:pStyle w:val="PR3"/>
        <w:numPr>
          <w:ilvl w:val="6"/>
          <w:numId w:val="1"/>
        </w:numPr>
        <w:rPr/>
      </w:pPr>
      <w:r>
        <w:rPr/>
        <w:t>Protection modes shall be line to neutral, line to ground, and neutral to ground.</w:t>
      </w:r>
    </w:p>
    <w:p>
      <w:pPr>
        <w:pStyle w:val="PR3"/>
        <w:numPr>
          <w:ilvl w:val="6"/>
          <w:numId w:val="1"/>
        </w:numPr>
        <w:rPr/>
      </w:pPr>
      <w:r>
        <w:rPr/>
        <w:t>UL 1449 Voltage Protection Rating for line to neutral and line to ground shall be [</w:t>
      </w:r>
      <w:r>
        <w:rPr>
          <w:b/>
        </w:rPr>
        <w:t>600 V</w:t>
      </w:r>
      <w:r>
        <w:rPr/>
        <w:t>] &lt;</w:t>
      </w:r>
      <w:r>
        <w:rPr>
          <w:b/>
        </w:rPr>
        <w:t>Insert value</w:t>
      </w:r>
      <w:r>
        <w:rPr/>
        <w:t>&gt; and [</w:t>
      </w:r>
      <w:r>
        <w:rPr>
          <w:b/>
        </w:rPr>
        <w:t>500 V</w:t>
      </w:r>
      <w:r>
        <w:rPr/>
        <w:t>].&lt;</w:t>
      </w:r>
      <w:r>
        <w:rPr>
          <w:b/>
        </w:rPr>
        <w:t>Insert value</w:t>
      </w:r>
      <w:r>
        <w:rPr/>
        <w:t>&gt; for neutral to ground.</w:t>
      </w:r>
    </w:p>
    <w:p>
      <w:pPr>
        <w:pStyle w:val="PRT"/>
        <w:numPr>
          <w:ilvl w:val="0"/>
          <w:numId w:val="1"/>
        </w:numPr>
        <w:ind w:hanging="0" w:left="0"/>
        <w:rPr/>
      </w:pPr>
      <w:r>
        <w:rPr/>
        <w:t>EXECUTION</w:t>
      </w:r>
    </w:p>
    <w:p>
      <w:pPr>
        <w:pStyle w:val="ART"/>
        <w:numPr>
          <w:ilvl w:val="3"/>
          <w:numId w:val="1"/>
        </w:numPr>
        <w:ind w:hanging="0" w:left="0"/>
        <w:rPr/>
      </w:pPr>
      <w:r>
        <w:rPr/>
        <w:t>ENTRANCE FACILITIES</w:t>
      </w:r>
    </w:p>
    <w:p>
      <w:pPr>
        <w:pStyle w:val="CMT"/>
        <w:rPr/>
      </w:pPr>
      <w:r>
        <w:rPr/>
        <w:t>Retain first paragraph below if demarcation point and service entrance cabling are from telecommunications service provider.</w:t>
      </w:r>
    </w:p>
    <w:p>
      <w:pPr>
        <w:pStyle w:val="PR1"/>
        <w:numPr>
          <w:ilvl w:val="4"/>
          <w:numId w:val="1"/>
        </w:numPr>
        <w:rPr/>
      </w:pPr>
      <w:r>
        <w:rPr/>
        <w:t>Contact telecommunications service provider and arrange for installation of demarcation point, protected entrance terminals, and a housing when so directed by service provider.</w:t>
      </w:r>
    </w:p>
    <w:p>
      <w:pPr>
        <w:pStyle w:val="PR1"/>
        <w:numPr>
          <w:ilvl w:val="4"/>
          <w:numId w:val="1"/>
        </w:numPr>
        <w:rPr/>
      </w:pPr>
      <w:r>
        <w:rPr/>
        <w:t>Comply with requirements in Section 270528 "Pathways for Communications Systems" for materials and installation requirements for [</w:t>
      </w:r>
      <w:r>
        <w:rPr>
          <w:b/>
        </w:rPr>
        <w:t>underground</w:t>
      </w:r>
      <w:r>
        <w:rPr/>
        <w:t>] [</w:t>
      </w:r>
      <w:r>
        <w:rPr>
          <w:b/>
        </w:rPr>
        <w:t>buried</w:t>
      </w:r>
      <w:r>
        <w:rPr/>
        <w:t>] [</w:t>
      </w:r>
      <w:r>
        <w:rPr>
          <w:b/>
        </w:rPr>
        <w:t>aerial</w:t>
      </w:r>
      <w:r>
        <w:rPr/>
        <w:t>] pathways.</w:t>
      </w:r>
    </w:p>
    <w:p>
      <w:pPr>
        <w:pStyle w:val="ART"/>
        <w:numPr>
          <w:ilvl w:val="3"/>
          <w:numId w:val="1"/>
        </w:numPr>
        <w:ind w:hanging="0" w:left="0"/>
        <w:rPr/>
      </w:pPr>
      <w:r>
        <w:rPr/>
        <w:t>INSTALLATION</w:t>
      </w:r>
    </w:p>
    <w:p>
      <w:pPr>
        <w:pStyle w:val="PR1"/>
        <w:numPr>
          <w:ilvl w:val="4"/>
          <w:numId w:val="1"/>
        </w:numPr>
        <w:rPr/>
      </w:pPr>
      <w:r>
        <w:rPr/>
        <w:t>Comply with NECA 1.</w:t>
      </w:r>
    </w:p>
    <w:p>
      <w:pPr>
        <w:pStyle w:val="PR1"/>
        <w:numPr>
          <w:ilvl w:val="4"/>
          <w:numId w:val="1"/>
        </w:numPr>
        <w:rPr/>
      </w:pPr>
      <w:r>
        <w:rPr/>
        <w:t>Comply with BICSI's "Telecommunications Distribution Methods Manual" for layout of communications equipment spaces.</w:t>
      </w:r>
    </w:p>
    <w:p>
      <w:pPr>
        <w:pStyle w:val="PR1"/>
        <w:numPr>
          <w:ilvl w:val="4"/>
          <w:numId w:val="1"/>
        </w:numPr>
        <w:rPr/>
      </w:pPr>
      <w:r>
        <w:rPr/>
        <w:t>Comply with BICSI's "Information Technology Systems Installation Methods Manual" for installation of equipment in communications equipment spaces.</w:t>
      </w:r>
    </w:p>
    <w:p>
      <w:pPr>
        <w:pStyle w:val="PR1"/>
        <w:numPr>
          <w:ilvl w:val="4"/>
          <w:numId w:val="1"/>
        </w:numPr>
        <w:rPr/>
      </w:pPr>
      <w:r>
        <w:rPr/>
        <w:t>Bundle, lace, and train conductors and cables to terminal points without exceeding manufacturer's limitations on bending radii. Install lacing bars and distribution spools.</w:t>
      </w:r>
    </w:p>
    <w:p>
      <w:pPr>
        <w:pStyle w:val="CMT"/>
        <w:rPr/>
      </w:pPr>
      <w:r>
        <w:rPr/>
        <w:t>Revise paragraphs below to specify coordination with other parties involved in finalizing communications equipment room Work. See the Evaluations.</w:t>
      </w:r>
    </w:p>
    <w:p>
      <w:pPr>
        <w:pStyle w:val="PR1"/>
        <w:numPr>
          <w:ilvl w:val="4"/>
          <w:numId w:val="1"/>
        </w:numPr>
        <w:rPr/>
      </w:pPr>
      <w:r>
        <w:rPr/>
        <w:t>Coordinate layout and installation of communications equipment in tracks and in room. Coordinate service entrance configuration with service provider.</w:t>
      </w:r>
    </w:p>
    <w:p>
      <w:pPr>
        <w:pStyle w:val="PR2"/>
        <w:numPr>
          <w:ilvl w:val="5"/>
          <w:numId w:val="1"/>
        </w:numPr>
        <w:spacing w:before="240" w:after="0"/>
        <w:rPr/>
      </w:pPr>
      <w:r>
        <w:rPr/>
        <w:t>Meet jointly with systems providers, equipment suppliers, and Owner to exchange information and agree on details of equipment configurations and installation interfaces.</w:t>
      </w:r>
    </w:p>
    <w:p>
      <w:pPr>
        <w:pStyle w:val="PR2"/>
        <w:numPr>
          <w:ilvl w:val="5"/>
          <w:numId w:val="1"/>
        </w:numPr>
        <w:rPr/>
      </w:pPr>
      <w:r>
        <w:rPr/>
        <w:t>Record agreements reached in meetings and distribute them to other participants.</w:t>
      </w:r>
    </w:p>
    <w:p>
      <w:pPr>
        <w:pStyle w:val="PR2"/>
        <w:numPr>
          <w:ilvl w:val="5"/>
          <w:numId w:val="1"/>
        </w:numPr>
        <w:rPr/>
      </w:pPr>
      <w:r>
        <w:rPr/>
        <w:t>Adjust configurations and locations of distribution frames, cross-connects, and patch panels in equipment rooms to accommodate and optimize configurations and space requirements of communications equipment.</w:t>
      </w:r>
    </w:p>
    <w:p>
      <w:pPr>
        <w:pStyle w:val="PR2"/>
        <w:numPr>
          <w:ilvl w:val="5"/>
          <w:numId w:val="1"/>
        </w:numPr>
        <w:rPr/>
      </w:pPr>
      <w:r>
        <w:rPr/>
        <w:t>Adjust configurations and locations of equipment with distribution frames, cross-connects, and patch panels of cabling systems of other communications, electronic safety and security, and related systems that share space in equipment room.</w:t>
      </w:r>
    </w:p>
    <w:p>
      <w:pPr>
        <w:pStyle w:val="PR1"/>
        <w:numPr>
          <w:ilvl w:val="4"/>
          <w:numId w:val="1"/>
        </w:numPr>
        <w:rPr/>
      </w:pPr>
      <w:r>
        <w:rPr/>
        <w:t>Coordinate location of power raceways and receptacles with locations of communications equipment requiring electrical power to operate.</w:t>
      </w:r>
    </w:p>
    <w:p>
      <w:pPr>
        <w:pStyle w:val="PR1"/>
        <w:numPr>
          <w:ilvl w:val="4"/>
          <w:numId w:val="1"/>
        </w:numPr>
        <w:rPr/>
      </w:pPr>
      <w:r>
        <w:rPr/>
        <w:t>Backboards:</w:t>
      </w:r>
    </w:p>
    <w:p>
      <w:pPr>
        <w:pStyle w:val="PR2"/>
        <w:numPr>
          <w:ilvl w:val="5"/>
          <w:numId w:val="1"/>
        </w:numPr>
        <w:spacing w:before="240" w:after="0"/>
        <w:rPr/>
      </w:pPr>
      <w:r>
        <w:rPr/>
        <w:t xml:space="preserve">Install from </w:t>
      </w:r>
      <w:r>
        <w:rPr>
          <w:rStyle w:val="IP"/>
        </w:rPr>
        <w:t>6 inches</w:t>
      </w:r>
      <w:r>
        <w:rPr>
          <w:rStyle w:val="SI"/>
        </w:rPr>
        <w:t xml:space="preserve"> (150 mm)</w:t>
      </w:r>
      <w:r>
        <w:rPr/>
        <w:t xml:space="preserve"> to </w:t>
      </w:r>
      <w:r>
        <w:rPr>
          <w:rStyle w:val="IP"/>
        </w:rPr>
        <w:t>8 feet, 6 inches</w:t>
      </w:r>
      <w:r>
        <w:rPr>
          <w:rStyle w:val="SI"/>
        </w:rPr>
        <w:t xml:space="preserve"> (2588 mm)</w:t>
      </w:r>
      <w:r>
        <w:rPr/>
        <w:t xml:space="preserve"> above finished floor. If plywood is fire rated, ensure that fire-rating stamp is visible after installation.</w:t>
      </w:r>
    </w:p>
    <w:p>
      <w:pPr>
        <w:pStyle w:val="PR2"/>
        <w:numPr>
          <w:ilvl w:val="5"/>
          <w:numId w:val="1"/>
        </w:numPr>
        <w:rPr/>
      </w:pPr>
      <w:r>
        <w:rPr/>
        <w:t>Paint all sides of backboard with two coats of paint[</w:t>
      </w:r>
      <w:r>
        <w:rPr>
          <w:b/>
        </w:rPr>
        <w:t>, leaving fire rating stamp visible</w:t>
      </w:r>
      <w:r>
        <w:rPr/>
        <w:t>].</w:t>
      </w:r>
    </w:p>
    <w:p>
      <w:pPr>
        <w:pStyle w:val="PR2"/>
        <w:numPr>
          <w:ilvl w:val="5"/>
          <w:numId w:val="1"/>
        </w:numPr>
        <w:rPr/>
      </w:pPr>
      <w:r>
        <w:rPr/>
        <w:t>Comply with requirements for backboard installation in BICSI's "Information Technology Systems Installation Methods Manual" and TIA-569-D.</w:t>
      </w:r>
    </w:p>
    <w:p>
      <w:pPr>
        <w:pStyle w:val="ART"/>
        <w:numPr>
          <w:ilvl w:val="3"/>
          <w:numId w:val="1"/>
        </w:numPr>
        <w:ind w:hanging="0" w:left="0"/>
        <w:rPr/>
      </w:pPr>
      <w:r>
        <w:rPr/>
        <w:t>SLEEVE AND SLEEVE SEAL INSTALLATION FOR ELECTRICAL PENETRATIONS</w:t>
      </w:r>
    </w:p>
    <w:p>
      <w:pPr>
        <w:pStyle w:val="PR1"/>
        <w:numPr>
          <w:ilvl w:val="4"/>
          <w:numId w:val="1"/>
        </w:numPr>
        <w:rPr/>
      </w:pPr>
      <w:r>
        <w:rPr/>
        <w:t>Install sleeves and sleeve seals at penetrations of exterior floor and wall assemblies. Comply with requirements in Section 270544 "Sleeves and Sleeve Seals for Communications Pathways and Cabling."</w:t>
      </w:r>
    </w:p>
    <w:p>
      <w:pPr>
        <w:pStyle w:val="ART"/>
        <w:numPr>
          <w:ilvl w:val="3"/>
          <w:numId w:val="1"/>
        </w:numPr>
        <w:ind w:hanging="0" w:left="0"/>
        <w:rPr/>
      </w:pPr>
      <w:r>
        <w:rPr/>
        <w:t>FIRESTOPPING</w:t>
      </w:r>
    </w:p>
    <w:p>
      <w:pPr>
        <w:pStyle w:val="PR1"/>
        <w:numPr>
          <w:ilvl w:val="4"/>
          <w:numId w:val="1"/>
        </w:numPr>
        <w:rPr/>
      </w:pPr>
      <w:r>
        <w:rPr/>
        <w:t>Comply with requirements in Section 078413 "Penetration Firestopping."</w:t>
      </w:r>
    </w:p>
    <w:p>
      <w:pPr>
        <w:pStyle w:val="PR1"/>
        <w:numPr>
          <w:ilvl w:val="4"/>
          <w:numId w:val="1"/>
        </w:numPr>
        <w:rPr/>
      </w:pPr>
      <w:r>
        <w:rPr/>
        <w:t>Comply with TIA-569-D, Annex A, "Firestopping."</w:t>
      </w:r>
    </w:p>
    <w:p>
      <w:pPr>
        <w:pStyle w:val="PR1"/>
        <w:numPr>
          <w:ilvl w:val="4"/>
          <w:numId w:val="1"/>
        </w:numPr>
        <w:rPr/>
      </w:pPr>
      <w:r>
        <w:rPr/>
        <w:t>Comply with BICSI's "Information Technology Systems Installation Methods Manual," "Firestopping Practices" Ch.</w:t>
      </w:r>
    </w:p>
    <w:p>
      <w:pPr>
        <w:pStyle w:val="EOS"/>
        <w:rPr/>
      </w:pPr>
      <w:r>
        <w:rPr/>
        <w:t>END OF SECTION 271100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EQUIPMENT ROOM FITTINGS</w:t>
          </w:r>
        </w:p>
      </w:tc>
      <w:tc>
        <w:tcPr>
          <w:tcW w:w="1872" w:type="dxa"/>
          <w:tcBorders/>
        </w:tcPr>
        <w:p>
          <w:pPr>
            <w:pStyle w:val="RJUST"/>
            <w:rPr/>
          </w:pPr>
          <w:r>
            <w:rPr>
              <w:rStyle w:val="NUM"/>
            </w:rPr>
            <w:t>271100</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71100"/>
    <w:docVar w:name="MFOrigin" w:val="MF04"/>
    <w:docVar w:name="SpecType" w:val="MasterSpec"/>
    <w:docVar w:name="Version" w:val="160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100&amp;ver=03-01-21&amp;format=FL&amp;sid=16015&amp;utm_source=MasterSpec&amp;utm_medium=Word" TargetMode="External"/><Relationship Id="rId3" Type="http://schemas.openxmlformats.org/officeDocument/2006/relationships/hyperlink" Target="http://www.specagent.com/LookUp/?ulid=1754&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COMMUNICATIONS EQUIPMENT ROOM FITTINGS</dc:subject>
  <dc:title>SECTION 271100 - COMMUNICATIONS EQUIPMENT ROOM FITTINGS</dc:title>
</cp:coreProperties>
</file>