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2013 by The American Institute of Architects (AIA)</w:t>
      </w:r>
    </w:p>
    <w:p>
      <w:pPr>
        <w:pStyle w:val="CMT"/>
        <w:rPr/>
      </w:pPr>
      <w:r>
        <w:rPr/>
        <w:t>Exclusively published and distributed by Deltek, Inc. for the AIA</w:t>
      </w:r>
    </w:p>
    <w:p>
      <w:pPr>
        <w:pStyle w:val="SCT"/>
        <w:rPr/>
      </w:pPr>
      <w:r>
        <w:rPr/>
        <w:t xml:space="preserve">SECTION </w:t>
      </w:r>
      <w:r>
        <w:rPr>
          <w:rStyle w:val="NUM"/>
        </w:rPr>
        <w:t>313116</w:t>
      </w:r>
      <w:r>
        <w:rPr/>
        <w:t xml:space="preserve"> - </w:t>
      </w:r>
      <w:r>
        <w:rPr>
          <w:rStyle w:val="NAM"/>
        </w:rPr>
        <w:t>TERMITE CONTROL</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w:t>
        <w:noBreakHyphen/>
        <w:t>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w:t>
      </w:r>
    </w:p>
    <w:p>
      <w:pPr>
        <w:pStyle w:val="PR2"/>
        <w:numPr>
          <w:ilvl w:val="5"/>
          <w:numId w:val="1"/>
        </w:numPr>
        <w:spacing w:before="240" w:after="0"/>
        <w:ind w:hanging="0" w:left="0"/>
        <w:rPr/>
      </w:pPr>
      <w:r>
        <w:rPr/>
        <w:t>Soil treatment.</w:t>
      </w:r>
    </w:p>
    <w:p>
      <w:pPr>
        <w:pStyle w:val="PR2"/>
        <w:numPr>
          <w:ilvl w:val="5"/>
          <w:numId w:val="1"/>
        </w:numPr>
        <w:ind w:hanging="0" w:left="0"/>
        <w:rPr/>
      </w:pPr>
      <w:r>
        <w:rPr/>
        <w:t>Wood treatment.</w:t>
      </w:r>
    </w:p>
    <w:p>
      <w:pPr>
        <w:pStyle w:val="PR2"/>
        <w:numPr>
          <w:ilvl w:val="5"/>
          <w:numId w:val="1"/>
        </w:numPr>
        <w:ind w:hanging="0" w:left="0"/>
        <w:rPr/>
      </w:pPr>
      <w:r>
        <w:rPr/>
        <w:t>Bait-station system.</w:t>
      </w:r>
    </w:p>
    <w:p>
      <w:pPr>
        <w:pStyle w:val="PR2"/>
        <w:numPr>
          <w:ilvl w:val="5"/>
          <w:numId w:val="1"/>
        </w:numPr>
        <w:ind w:hanging="0" w:left="0"/>
        <w:rPr/>
      </w:pPr>
      <w:r>
        <w:rPr/>
        <w:t>Metal mesh barrier system.</w:t>
      </w:r>
    </w:p>
    <w:p>
      <w:pPr>
        <w:pStyle w:val="PR1"/>
        <w:numPr>
          <w:ilvl w:val="4"/>
          <w:numId w:val="1"/>
        </w:numPr>
        <w:ind w:hanging="0" w:left="0"/>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ind w:hanging="0" w:left="0"/>
        <w:rPr/>
      </w:pPr>
      <w:r>
        <w:rPr/>
        <w:t>Section 061000 "Rough Carpentry" for wood preservative treatment by pressure process.</w:t>
      </w:r>
    </w:p>
    <w:p>
      <w:pPr>
        <w:pStyle w:val="CMT"/>
        <w:rPr/>
      </w:pPr>
      <w:r>
        <w:rPr/>
        <w:t>Retain subparagraph below only if requirements for termite shields have been added to Section 076200 "Sheet Metal Flashing and Trim" and details are included on Drawings.</w:t>
      </w:r>
    </w:p>
    <w:p>
      <w:pPr>
        <w:pStyle w:val="PR2"/>
        <w:numPr>
          <w:ilvl w:val="5"/>
          <w:numId w:val="1"/>
        </w:numPr>
        <w:ind w:hanging="0" w:left="0"/>
        <w:rPr/>
      </w:pPr>
      <w:r>
        <w:rPr/>
        <w:t>Section 076200 "Sheet Metal Flashing and Trim" for custom-fabricated, metal termite shields.</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ind w:hanging="0" w:left="0"/>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PR2"/>
        <w:numPr>
          <w:ilvl w:val="5"/>
          <w:numId w:val="1"/>
        </w:numPr>
        <w:spacing w:before="240" w:after="0"/>
        <w:ind w:hanging="0" w:left="0"/>
        <w:rPr/>
      </w:pPr>
      <w:r>
        <w:rPr/>
        <w:t>Include construction details, material descriptions, dimensions of individual components, and profiles for termite control products.</w:t>
      </w:r>
    </w:p>
    <w:p>
      <w:pPr>
        <w:pStyle w:val="PR2"/>
        <w:numPr>
          <w:ilvl w:val="5"/>
          <w:numId w:val="1"/>
        </w:numPr>
        <w:ind w:hanging="0" w:left="0"/>
        <w:rPr/>
      </w:pPr>
      <w:r>
        <w:rPr/>
        <w:t>Include the EPA-Registered Label for termiticide products.</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ind w:hanging="0" w:left="0"/>
        <w:rPr/>
      </w:pPr>
      <w:r>
        <w:rPr/>
        <w:t>Qualification Data: For qualified Installer.</w:t>
      </w:r>
    </w:p>
    <w:p>
      <w:pPr>
        <w:pStyle w:val="CMT"/>
        <w:rPr/>
      </w:pPr>
      <w:r>
        <w:rPr/>
        <w:t>Retain "Product Certificates" Paragraph below to require submittal of product certificates from manufacturers.</w:t>
      </w:r>
    </w:p>
    <w:p>
      <w:pPr>
        <w:pStyle w:val="PR1"/>
        <w:numPr>
          <w:ilvl w:val="4"/>
          <w:numId w:val="1"/>
        </w:numPr>
        <w:ind w:hanging="0" w:left="0"/>
        <w:rPr/>
      </w:pPr>
      <w:r>
        <w:rPr/>
        <w:t>Product Certificates: For each type of termite control product.</w:t>
      </w:r>
    </w:p>
    <w:p>
      <w:pPr>
        <w:pStyle w:val="CMT"/>
        <w:rPr/>
      </w:pPr>
      <w:r>
        <w:rPr/>
        <w:t>Retain one or more of "Soil Treatment Application Report," "Wood Treatment Application Report," "Bait-Station System Installation Report," and "Research/Evaluation Reports" paragraphs below to suit Project.</w:t>
      </w:r>
    </w:p>
    <w:p>
      <w:pPr>
        <w:pStyle w:val="PR1"/>
        <w:numPr>
          <w:ilvl w:val="4"/>
          <w:numId w:val="1"/>
        </w:numPr>
        <w:ind w:hanging="0" w:left="0"/>
        <w:rPr/>
      </w:pPr>
      <w:r>
        <w:rPr/>
        <w:t>Soil Treatment Application Report: After application of termiticide is completed, submit report for Owner's records and include the following:</w:t>
      </w:r>
    </w:p>
    <w:p>
      <w:pPr>
        <w:pStyle w:val="PR2"/>
        <w:numPr>
          <w:ilvl w:val="5"/>
          <w:numId w:val="1"/>
        </w:numPr>
        <w:spacing w:before="240" w:after="0"/>
        <w:ind w:hanging="0" w:left="0"/>
        <w:rPr/>
      </w:pPr>
      <w:r>
        <w:rPr/>
        <w:t>Date and time of application.</w:t>
      </w:r>
    </w:p>
    <w:p>
      <w:pPr>
        <w:pStyle w:val="PR2"/>
        <w:numPr>
          <w:ilvl w:val="5"/>
          <w:numId w:val="1"/>
        </w:numPr>
        <w:ind w:hanging="0" w:left="0"/>
        <w:rPr/>
      </w:pPr>
      <w:r>
        <w:rPr/>
        <w:t>Moisture content of soil before application.</w:t>
      </w:r>
    </w:p>
    <w:p>
      <w:pPr>
        <w:pStyle w:val="PR2"/>
        <w:numPr>
          <w:ilvl w:val="5"/>
          <w:numId w:val="1"/>
        </w:numPr>
        <w:ind w:hanging="0" w:left="0"/>
        <w:rPr/>
      </w:pPr>
      <w:r>
        <w:rPr/>
        <w:t>Termiticide brand name and manufacturer.</w:t>
      </w:r>
    </w:p>
    <w:p>
      <w:pPr>
        <w:pStyle w:val="PR2"/>
        <w:numPr>
          <w:ilvl w:val="5"/>
          <w:numId w:val="1"/>
        </w:numPr>
        <w:ind w:hanging="0" w:left="0"/>
        <w:rPr/>
      </w:pPr>
      <w:r>
        <w:rPr/>
        <w:t>Quantity of undiluted termiticide used.</w:t>
      </w:r>
    </w:p>
    <w:p>
      <w:pPr>
        <w:pStyle w:val="PR2"/>
        <w:numPr>
          <w:ilvl w:val="5"/>
          <w:numId w:val="1"/>
        </w:numPr>
        <w:ind w:hanging="0" w:left="0"/>
        <w:rPr/>
      </w:pPr>
      <w:r>
        <w:rPr/>
        <w:t>Dilutions, methods, volumes used, and rates of application.</w:t>
      </w:r>
    </w:p>
    <w:p>
      <w:pPr>
        <w:pStyle w:val="PR2"/>
        <w:numPr>
          <w:ilvl w:val="5"/>
          <w:numId w:val="1"/>
        </w:numPr>
        <w:ind w:hanging="0" w:left="0"/>
        <w:rPr/>
      </w:pPr>
      <w:r>
        <w:rPr/>
        <w:t>Areas of application.</w:t>
      </w:r>
    </w:p>
    <w:p>
      <w:pPr>
        <w:pStyle w:val="PR2"/>
        <w:numPr>
          <w:ilvl w:val="5"/>
          <w:numId w:val="1"/>
        </w:numPr>
        <w:ind w:hanging="0" w:left="0"/>
        <w:rPr/>
      </w:pPr>
      <w:r>
        <w:rPr/>
        <w:t>Water source for application.</w:t>
      </w:r>
    </w:p>
    <w:p>
      <w:pPr>
        <w:pStyle w:val="PR1"/>
        <w:numPr>
          <w:ilvl w:val="4"/>
          <w:numId w:val="1"/>
        </w:numPr>
        <w:ind w:hanging="0" w:left="0"/>
        <w:rPr/>
      </w:pPr>
      <w:r>
        <w:rPr/>
        <w:t>Wood Treatment Application Report: After application of termiticide is completed, submit report for Owner's records and include the following:</w:t>
      </w:r>
    </w:p>
    <w:p>
      <w:pPr>
        <w:pStyle w:val="PR2"/>
        <w:numPr>
          <w:ilvl w:val="5"/>
          <w:numId w:val="1"/>
        </w:numPr>
        <w:spacing w:before="240" w:after="0"/>
        <w:ind w:hanging="0" w:left="0"/>
        <w:rPr/>
      </w:pPr>
      <w:r>
        <w:rPr/>
        <w:t>Date and time of application.</w:t>
      </w:r>
    </w:p>
    <w:p>
      <w:pPr>
        <w:pStyle w:val="PR2"/>
        <w:numPr>
          <w:ilvl w:val="5"/>
          <w:numId w:val="1"/>
        </w:numPr>
        <w:ind w:hanging="0" w:left="0"/>
        <w:rPr/>
      </w:pPr>
      <w:r>
        <w:rPr/>
        <w:t>Termiticide brand name and manufacturer.</w:t>
      </w:r>
    </w:p>
    <w:p>
      <w:pPr>
        <w:pStyle w:val="PR2"/>
        <w:numPr>
          <w:ilvl w:val="5"/>
          <w:numId w:val="1"/>
        </w:numPr>
        <w:ind w:hanging="0" w:left="0"/>
        <w:rPr/>
      </w:pPr>
      <w:r>
        <w:rPr/>
        <w:t>Quantity of undiluted termiticide used.</w:t>
      </w:r>
    </w:p>
    <w:p>
      <w:pPr>
        <w:pStyle w:val="PR2"/>
        <w:numPr>
          <w:ilvl w:val="5"/>
          <w:numId w:val="1"/>
        </w:numPr>
        <w:ind w:hanging="0" w:left="0"/>
        <w:rPr/>
      </w:pPr>
      <w:r>
        <w:rPr/>
        <w:t>Dilutions, methods, volumes used, and rates of application.</w:t>
      </w:r>
    </w:p>
    <w:p>
      <w:pPr>
        <w:pStyle w:val="PR2"/>
        <w:numPr>
          <w:ilvl w:val="5"/>
          <w:numId w:val="1"/>
        </w:numPr>
        <w:ind w:hanging="0" w:left="0"/>
        <w:rPr/>
      </w:pPr>
      <w:r>
        <w:rPr/>
        <w:t>Areas of application.</w:t>
      </w:r>
    </w:p>
    <w:p>
      <w:pPr>
        <w:pStyle w:val="PR1"/>
        <w:numPr>
          <w:ilvl w:val="4"/>
          <w:numId w:val="1"/>
        </w:numPr>
        <w:ind w:hanging="0" w:left="0"/>
        <w:rPr/>
      </w:pPr>
      <w:r>
        <w:rPr/>
        <w:t>Bait-Station System Installation Report: After installation of bait-station system is completed, submit report for Owner's records and include the following:</w:t>
      </w:r>
    </w:p>
    <w:p>
      <w:pPr>
        <w:pStyle w:val="PR2"/>
        <w:numPr>
          <w:ilvl w:val="5"/>
          <w:numId w:val="1"/>
        </w:numPr>
        <w:spacing w:before="240" w:after="0"/>
        <w:ind w:hanging="0" w:left="0"/>
        <w:rPr/>
      </w:pPr>
      <w:r>
        <w:rPr/>
        <w:t>Location of areas and sites conducive to termite feeding and activity.</w:t>
      </w:r>
    </w:p>
    <w:p>
      <w:pPr>
        <w:pStyle w:val="PR2"/>
        <w:numPr>
          <w:ilvl w:val="5"/>
          <w:numId w:val="1"/>
        </w:numPr>
        <w:ind w:hanging="0" w:left="0"/>
        <w:rPr/>
      </w:pPr>
      <w:r>
        <w:rPr/>
        <w:t>Plan drawing showing number and locations of bait stations.</w:t>
      </w:r>
    </w:p>
    <w:p>
      <w:pPr>
        <w:pStyle w:val="PR2"/>
        <w:numPr>
          <w:ilvl w:val="5"/>
          <w:numId w:val="1"/>
        </w:numPr>
        <w:ind w:hanging="0" w:left="0"/>
        <w:rPr/>
      </w:pPr>
      <w:r>
        <w:rPr/>
        <w:t>Dated report for each monitoring and inspection occurrence, indicating level of termite activity, procedure, and treatment applied before time of Substantial Completion.</w:t>
      </w:r>
    </w:p>
    <w:p>
      <w:pPr>
        <w:pStyle w:val="PR2"/>
        <w:numPr>
          <w:ilvl w:val="5"/>
          <w:numId w:val="1"/>
        </w:numPr>
        <w:ind w:hanging="0" w:left="0"/>
        <w:rPr/>
      </w:pPr>
      <w:r>
        <w:rPr/>
        <w:t>Termiticide brand name and manufacturer.</w:t>
      </w:r>
    </w:p>
    <w:p>
      <w:pPr>
        <w:pStyle w:val="PR2"/>
        <w:numPr>
          <w:ilvl w:val="5"/>
          <w:numId w:val="1"/>
        </w:numPr>
        <w:ind w:hanging="0" w:left="0"/>
        <w:rPr/>
      </w:pPr>
      <w:r>
        <w:rPr/>
        <w:t>Quantities of [</w:t>
      </w:r>
      <w:r>
        <w:rPr>
          <w:b/>
        </w:rPr>
        <w:t>termiticide</w:t>
      </w:r>
      <w:r>
        <w:rPr/>
        <w:t>] [</w:t>
      </w:r>
      <w:r>
        <w:rPr>
          <w:b/>
        </w:rPr>
        <w:t>and</w:t>
      </w:r>
      <w:r>
        <w:rPr/>
        <w:t>] [</w:t>
      </w:r>
      <w:r>
        <w:rPr>
          <w:b/>
        </w:rPr>
        <w:t>nontoxic termite bait</w:t>
      </w:r>
      <w:r>
        <w:rPr/>
        <w:t>] used.</w:t>
      </w:r>
    </w:p>
    <w:p>
      <w:pPr>
        <w:pStyle w:val="PR2"/>
        <w:numPr>
          <w:ilvl w:val="5"/>
          <w:numId w:val="1"/>
        </w:numPr>
        <w:ind w:hanging="0" w:left="0"/>
        <w:rPr/>
      </w:pPr>
      <w:r>
        <w:rPr/>
        <w:t>Schedule of inspections for one year from date of Substantial Completion.</w:t>
      </w:r>
    </w:p>
    <w:p>
      <w:pPr>
        <w:pStyle w:val="PR1"/>
        <w:numPr>
          <w:ilvl w:val="4"/>
          <w:numId w:val="1"/>
        </w:numPr>
        <w:ind w:hanging="0" w:left="0"/>
        <w:rPr/>
      </w:pPr>
      <w:r>
        <w:rPr/>
        <w:t>Research/Evaluation Reports: For metal mesh barrier system, from &lt;</w:t>
      </w:r>
      <w:r>
        <w:rPr>
          <w:b/>
        </w:rPr>
        <w:t>Insert applicable model code organization</w:t>
      </w:r>
      <w:r>
        <w:rPr/>
        <w:t>&gt;.</w:t>
      </w:r>
    </w:p>
    <w:p>
      <w:pPr>
        <w:pStyle w:val="PR1"/>
        <w:numPr>
          <w:ilvl w:val="4"/>
          <w:numId w:val="1"/>
        </w:numPr>
        <w:ind w:hanging="0" w:left="0"/>
        <w:rPr/>
      </w:pPr>
      <w:r>
        <w:rPr/>
        <w:t>Sample Warranties: For special warranties.</w:t>
      </w:r>
    </w:p>
    <w:p>
      <w:pPr>
        <w:pStyle w:val="ART"/>
        <w:numPr>
          <w:ilvl w:val="3"/>
          <w:numId w:val="1"/>
        </w:numPr>
        <w:ind w:hanging="0" w:left="0"/>
        <w:rPr/>
      </w:pPr>
      <w:r>
        <w:rPr/>
        <w:t>QUALITY ASSURANCE</w:t>
      </w:r>
    </w:p>
    <w:p>
      <w:pPr>
        <w:pStyle w:val="CMT"/>
        <w:rPr/>
      </w:pPr>
      <w:r>
        <w:rPr/>
        <w:t>Retain first option in "Installer Qualifications" Paragraph below for bait-station system. Retain second option for metal mesh barrier system.</w:t>
      </w:r>
    </w:p>
    <w:p>
      <w:pPr>
        <w:pStyle w:val="PR1"/>
        <w:numPr>
          <w:ilvl w:val="4"/>
          <w:numId w:val="1"/>
        </w:numPr>
        <w:ind w:hanging="0" w:left="0"/>
        <w:rPr/>
      </w:pPr>
      <w:r>
        <w:rPr/>
        <w:t>Installer Qualifications: A specialist who is licensed according to regulations of authorities having jurisdiction to apply termite control treatment and products in jurisdiction where Project is located[</w:t>
      </w:r>
      <w:r>
        <w:rPr>
          <w:b/>
        </w:rPr>
        <w:t> and who employs workers trained and approved by manufacturer to install manufacturer's products</w:t>
      </w:r>
      <w:r>
        <w:rPr/>
        <w:t>] [</w:t>
      </w:r>
      <w:r>
        <w:rPr>
          <w:b/>
        </w:rPr>
        <w:t> and who is accredited by manufacturer</w:t>
      </w:r>
      <w:r>
        <w:rPr/>
        <w:t>].</w:t>
      </w:r>
    </w:p>
    <w:p>
      <w:pPr>
        <w:pStyle w:val="ART"/>
        <w:numPr>
          <w:ilvl w:val="3"/>
          <w:numId w:val="1"/>
        </w:numPr>
        <w:ind w:hanging="0" w:left="0"/>
        <w:rPr/>
      </w:pPr>
      <w:r>
        <w:rPr/>
        <w:t>FIELD CONDITIONS</w:t>
      </w:r>
    </w:p>
    <w:p>
      <w:pPr>
        <w:pStyle w:val="PR1"/>
        <w:numPr>
          <w:ilvl w:val="4"/>
          <w:numId w:val="1"/>
        </w:numPr>
        <w:ind w:hanging="0" w:left="0"/>
        <w:rPr/>
      </w:pPr>
      <w:r>
        <w:rPr/>
        <w:t>Soil Treatment:</w:t>
      </w:r>
    </w:p>
    <w:p>
      <w:pPr>
        <w:pStyle w:val="PR2"/>
        <w:numPr>
          <w:ilvl w:val="5"/>
          <w:numId w:val="1"/>
        </w:numPr>
        <w:spacing w:before="240" w:after="0"/>
        <w:ind w:hanging="0" w:left="0"/>
        <w:rPr/>
      </w:pPr>
      <w:r>
        <w:rPr/>
        <w:t>Environmental Limitations: To ensure penetration, do not treat soil that is water saturated or frozen. Do not treat soil while precipitation is occurring. Comply with requirements of the EPA-Registered Label and requirements of authorities having jurisdiction.</w:t>
      </w:r>
    </w:p>
    <w:p>
      <w:pPr>
        <w:pStyle w:val="PR2"/>
        <w:numPr>
          <w:ilvl w:val="5"/>
          <w:numId w:val="1"/>
        </w:numPr>
        <w:ind w:hanging="0" w:left="0"/>
        <w:rPr/>
      </w:pPr>
      <w:r>
        <w:rPr/>
        <w:t>Related Work: Coordinate soil treatment application with excavating, filling, grading, and concreting operations. Treat soil under footings, grade beams, and ground-supported slabs before construction.</w:t>
      </w:r>
    </w:p>
    <w:p>
      <w:pPr>
        <w:pStyle w:val="ART"/>
        <w:numPr>
          <w:ilvl w:val="3"/>
          <w:numId w:val="1"/>
        </w:numPr>
        <w:ind w:hanging="0" w:left="0"/>
        <w:rPr/>
      </w:pPr>
      <w:r>
        <w:rPr/>
        <w:t>WARRANTY</w:t>
      </w:r>
    </w:p>
    <w:p>
      <w:pPr>
        <w:pStyle w:val="CMT"/>
        <w:rPr/>
      </w:pPr>
      <w:r>
        <w:rPr/>
        <w:t>When warranties are required, verify with Owner's counsel that special warranties stated in this article are not less than remedies available to Owner under prevailing local laws.</w:t>
      </w:r>
    </w:p>
    <w:p>
      <w:pPr>
        <w:pStyle w:val="CMT"/>
        <w:rPr/>
      </w:pPr>
      <w:r>
        <w:rPr/>
        <w:t>Manufacturers generally do not include warranty information on their Web sites. Retain option in one or more "Special Warranty" paragraphs below only for areas where warranties must explicitly include Formosan or other aggressive termite species.</w:t>
      </w:r>
    </w:p>
    <w:p>
      <w:pPr>
        <w:pStyle w:val="CMT"/>
        <w:rPr/>
      </w:pPr>
      <w:r>
        <w:rPr/>
        <w:t>Warranty in "Soil Treatment Special Warranty" Paragraph below is for protection of construction from infestation and not specifically for methods used. Insert bait-station system and warranty terms if applicable. If required, contact HUD for its current "Subterranean Termite Soil Treatment Builder's Guarantee."</w:t>
      </w:r>
    </w:p>
    <w:p>
      <w:pPr>
        <w:pStyle w:val="PR1"/>
        <w:numPr>
          <w:ilvl w:val="4"/>
          <w:numId w:val="1"/>
        </w:numPr>
        <w:ind w:hanging="0" w:left="0"/>
        <w:rPr/>
      </w:pPr>
      <w:r>
        <w:rPr/>
        <w:t>Soil Treatment Special Warranty: Manufacturer's standard form, signed by Applicator and Contractor, certifying that termite control work consisting of applied soil termiticide treatment will prevent infestation of subterranean termites[</w:t>
      </w:r>
      <w:r>
        <w:rPr>
          <w:b/>
        </w:rPr>
        <w:t>, including Formosan termites (Coptotermes formosanus)</w:t>
      </w:r>
      <w:r>
        <w:rPr/>
        <w:t>] &lt;</w:t>
      </w:r>
      <w:r>
        <w:rPr>
          <w:b/>
        </w:rPr>
        <w:t>Insert requirement</w:t>
      </w:r>
      <w:r>
        <w:rPr/>
        <w:t>&gt;. If subterranean termite activity or damage is discovered during warranty period, re-treat soil and repair or replace damage caused by termite infestation.</w:t>
      </w:r>
    </w:p>
    <w:p>
      <w:pPr>
        <w:pStyle w:val="CMT"/>
        <w:rPr/>
      </w:pPr>
      <w:r>
        <w:rPr/>
        <w:t>Verify available warranties and warranty periods.</w:t>
      </w:r>
    </w:p>
    <w:p>
      <w:pPr>
        <w:pStyle w:val="PR2"/>
        <w:numPr>
          <w:ilvl w:val="5"/>
          <w:numId w:val="1"/>
        </w:numPr>
        <w:spacing w:before="240" w:after="0"/>
        <w:ind w:hanging="0" w:left="0"/>
        <w:rPr/>
      </w:pPr>
      <w:r>
        <w:rPr/>
        <w:t>Warranty Period: [</w:t>
      </w:r>
      <w:r>
        <w:rPr>
          <w:b/>
        </w:rPr>
        <w:t>Three</w:t>
      </w:r>
      <w:r>
        <w:rPr/>
        <w:t>] [</w:t>
      </w:r>
      <w:r>
        <w:rPr>
          <w:b/>
        </w:rPr>
        <w:t>Five</w:t>
      </w:r>
      <w:r>
        <w:rPr/>
        <w:t>] &lt;</w:t>
      </w:r>
      <w:r>
        <w:rPr>
          <w:b/>
        </w:rPr>
        <w:t>Insert number</w:t>
      </w:r>
      <w:r>
        <w:rPr/>
        <w:t>&gt; years from date of Substantial Completion.</w:t>
      </w:r>
    </w:p>
    <w:p>
      <w:pPr>
        <w:pStyle w:val="PR1"/>
        <w:numPr>
          <w:ilvl w:val="4"/>
          <w:numId w:val="1"/>
        </w:numPr>
        <w:ind w:hanging="0" w:left="0"/>
        <w:rPr/>
      </w:pPr>
      <w:r>
        <w:rPr/>
        <w:t>Wood Treatment Special Warranty: Manufacturer's standard form, signed by Applicator and Contractor, certifying that termite control work consisting of applied wood termiticide treatment will prevent infestation of subterranean termites[</w:t>
      </w:r>
      <w:r>
        <w:rPr>
          <w:b/>
        </w:rPr>
        <w:t>, including Formosan termites (Coptotermes formosanus)</w:t>
      </w:r>
      <w:r>
        <w:rPr/>
        <w:t>] &lt;</w:t>
      </w:r>
      <w:r>
        <w:rPr>
          <w:b/>
        </w:rPr>
        <w:t>Insert requirement</w:t>
      </w:r>
      <w:r>
        <w:rPr/>
        <w:t>&gt;. If subterranean termite damage is discovered during warranty period, repair or replace damage caused by termite infestation and treat replacement wood.</w:t>
      </w:r>
    </w:p>
    <w:p>
      <w:pPr>
        <w:pStyle w:val="CMT"/>
        <w:rPr/>
      </w:pPr>
      <w:r>
        <w:rPr/>
        <w:t>Verify available warranties and warranty periods. Nisus Corporation has a limited warranty available for its "Bora-Care."</w:t>
      </w:r>
    </w:p>
    <w:p>
      <w:pPr>
        <w:pStyle w:val="PR2"/>
        <w:numPr>
          <w:ilvl w:val="5"/>
          <w:numId w:val="1"/>
        </w:numPr>
        <w:spacing w:before="240" w:after="0"/>
        <w:ind w:hanging="0" w:left="0"/>
        <w:rPr/>
      </w:pPr>
      <w:r>
        <w:rPr/>
        <w:t>Warranty Period: [</w:t>
      </w:r>
      <w:r>
        <w:rPr>
          <w:b/>
        </w:rPr>
        <w:t>12</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See Editing Instruction No. 1 in the Evaluations for cautions about named manufacturers and products. For an explanation of options and Contractor's product selection procedures, see Section 016000 "Product Requirements."</w:t>
      </w:r>
    </w:p>
    <w:p>
      <w:pPr>
        <w:pStyle w:val="ART"/>
        <w:numPr>
          <w:ilvl w:val="3"/>
          <w:numId w:val="1"/>
        </w:numPr>
        <w:ind w:hanging="0" w:left="0"/>
        <w:rPr/>
      </w:pPr>
      <w:r>
        <w:rPr/>
        <w:t>MANUFACTURERS</w:t>
      </w:r>
    </w:p>
    <w:p>
      <w:pPr>
        <w:pStyle w:val="CMT"/>
        <w:rPr/>
      </w:pPr>
      <w:r>
        <w:rPr/>
        <w:t>Retain option in "Source Limitations" Paragraph below if products are not from different manufacturers. Products may be incompatible; consult manufacturers. Using products from multiple manufacturers may void warranties.</w:t>
      </w:r>
    </w:p>
    <w:p>
      <w:pPr>
        <w:pStyle w:val="PR1"/>
        <w:numPr>
          <w:ilvl w:val="4"/>
          <w:numId w:val="1"/>
        </w:numPr>
        <w:ind w:hanging="0" w:left="0"/>
        <w:rPr/>
      </w:pPr>
      <w:r>
        <w:rPr/>
        <w:t>Source Limitations: Obtain termite control products from single source[</w:t>
      </w:r>
      <w:r>
        <w:rPr>
          <w:b/>
        </w:rPr>
        <w:t> from single manufacturer</w:t>
      </w:r>
      <w:r>
        <w:rPr/>
        <w:t>].</w:t>
      </w:r>
    </w:p>
    <w:p>
      <w:pPr>
        <w:pStyle w:val="ART"/>
        <w:numPr>
          <w:ilvl w:val="3"/>
          <w:numId w:val="1"/>
        </w:numPr>
        <w:ind w:hanging="0" w:left="0"/>
        <w:rPr/>
      </w:pPr>
      <w:r>
        <w:rPr/>
        <w:t>SOIL TREATMENT</w:t>
      </w:r>
    </w:p>
    <w:p>
      <w:pPr>
        <w:pStyle w:val="CMT"/>
        <w:rPr/>
      </w:pPr>
      <w:r>
        <w:rPr/>
        <w:t>Retain this article unless another treatment method is permitted or required by authorities having jurisdiction.</w:t>
      </w:r>
    </w:p>
    <w:p>
      <w:pPr>
        <w:pStyle w:val="PR1"/>
        <w:numPr>
          <w:ilvl w:val="4"/>
          <w:numId w:val="1"/>
        </w:numPr>
        <w:ind w:hanging="0" w:left="0"/>
        <w:rPr/>
      </w:pPr>
      <w:r>
        <w:rPr/>
        <w:t>Termiticide: EPA-Registered termiticide acceptable to authorities having jurisdiction, in an aqueous solution formulated to prevent termite infestation.</w:t>
      </w:r>
    </w:p>
    <w:p>
      <w:pPr>
        <w:pStyle w:val="PR2"/>
        <w:numPr>
          <w:ilvl w:val="5"/>
          <w:numId w:val="1"/>
        </w:numPr>
        <w:spacing w:before="240" w:after="0"/>
        <w:ind w:hanging="0" w:left="0"/>
        <w:rPr/>
      </w:pPr>
      <w:hyperlink r:id="rId3">
        <w:r>
          <w:rPr>
            <w:rStyle w:val="Hyperlink"/>
          </w:rPr>
          <w:t>&lt;Double click here to find, evaluate, and insert list of manufacturers and products.&gt;</w:t>
        </w:r>
      </w:hyperlink>
    </w:p>
    <w:p>
      <w:pPr>
        <w:pStyle w:val="PR2"/>
        <w:numPr>
          <w:ilvl w:val="5"/>
          <w:numId w:val="1"/>
        </w:numPr>
        <w:ind w:hanging="0" w:left="0"/>
        <w:rPr/>
      </w:pPr>
      <w:r>
        <w:rPr/>
        <w:t>Service Life of Treatment: Soil treatment termiticide that is effective for not less than [</w:t>
      </w:r>
      <w:r>
        <w:rPr>
          <w:b/>
        </w:rPr>
        <w:t>three</w:t>
      </w:r>
      <w:r>
        <w:rPr/>
        <w:t>] [</w:t>
      </w:r>
      <w:r>
        <w:rPr>
          <w:b/>
        </w:rPr>
        <w:t>five</w:t>
      </w:r>
      <w:r>
        <w:rPr/>
        <w:t>] &lt;</w:t>
      </w:r>
      <w:r>
        <w:rPr>
          <w:b/>
        </w:rPr>
        <w:t>Insert number</w:t>
      </w:r>
      <w:r>
        <w:rPr/>
        <w:t>&gt; years against infestation of subterranean termites.</w:t>
      </w:r>
    </w:p>
    <w:p>
      <w:pPr>
        <w:pStyle w:val="ART"/>
        <w:numPr>
          <w:ilvl w:val="3"/>
          <w:numId w:val="1"/>
        </w:numPr>
        <w:ind w:hanging="0" w:left="0"/>
        <w:rPr/>
      </w:pPr>
      <w:r>
        <w:rPr/>
        <w:t>WOOD TREATMENT</w:t>
      </w:r>
    </w:p>
    <w:p>
      <w:pPr>
        <w:pStyle w:val="CMT"/>
        <w:rPr/>
      </w:pPr>
      <w:r>
        <w:rPr/>
        <w:t>Retain this article for treatment of weather-protected wood or wood coated immediately after application of treatment.</w:t>
      </w:r>
    </w:p>
    <w:p>
      <w:pPr>
        <w:pStyle w:val="PR1"/>
        <w:numPr>
          <w:ilvl w:val="4"/>
          <w:numId w:val="1"/>
        </w:numPr>
        <w:ind w:hanging="0" w:left="0"/>
        <w:rPr/>
      </w:pPr>
      <w:r>
        <w:rPr/>
        <w:t>Borate: EPA-Registered borate termiticide acceptable to authorities having jurisdiction, in an aqueous solution for spray application and a gel solution for pressure injection, formulated to prevent termite infestation in wood.</w:t>
      </w:r>
    </w:p>
    <w:p>
      <w:pPr>
        <w:pStyle w:val="PR2"/>
        <w:numPr>
          <w:ilvl w:val="5"/>
          <w:numId w:val="1"/>
        </w:numPr>
        <w:spacing w:before="240" w:after="0"/>
        <w:ind w:hanging="0" w:left="0"/>
        <w:rPr/>
      </w:pPr>
      <w:hyperlink r:id="rId4">
        <w:r>
          <w:rPr>
            <w:rStyle w:val="Hyperlink"/>
          </w:rPr>
          <w:t>&lt;Double click here to find, evaluate, and insert list of manufacturers and products.&gt;</w:t>
        </w:r>
      </w:hyperlink>
    </w:p>
    <w:p>
      <w:pPr>
        <w:pStyle w:val="ART"/>
        <w:numPr>
          <w:ilvl w:val="3"/>
          <w:numId w:val="1"/>
        </w:numPr>
        <w:ind w:hanging="0" w:left="0"/>
        <w:rPr/>
      </w:pPr>
      <w:r>
        <w:rPr/>
        <w:t>BAIT-STATION SYSTEM</w:t>
      </w:r>
    </w:p>
    <w:p>
      <w:pPr>
        <w:pStyle w:val="PR1"/>
        <w:numPr>
          <w:ilvl w:val="4"/>
          <w:numId w:val="1"/>
        </w:numPr>
        <w:ind w:hanging="0" w:left="0"/>
        <w:rPr/>
      </w:pPr>
      <w:r>
        <w:rPr/>
        <w:t>Description: EPA-Registered system acceptable to authorities having jurisdiction. Provide bait stations based on the dimensions of building perimeter indicated on Drawings, according to product's EPA-Registered Label and manufacturer's written instructions.</w:t>
      </w:r>
    </w:p>
    <w:p>
      <w:pPr>
        <w:pStyle w:val="PR2"/>
        <w:numPr>
          <w:ilvl w:val="5"/>
          <w:numId w:val="1"/>
        </w:numPr>
        <w:spacing w:before="240" w:after="0"/>
        <w:ind w:hanging="0" w:left="0"/>
        <w:rPr/>
      </w:pPr>
      <w:hyperlink r:id="rId5">
        <w:r>
          <w:rPr>
            <w:rStyle w:val="Hyperlink"/>
          </w:rPr>
          <w:t>&lt;Double click here to find, evaluate, and insert list of manufacturers and products.&gt;</w:t>
        </w:r>
      </w:hyperlink>
    </w:p>
    <w:p>
      <w:pPr>
        <w:pStyle w:val="ART"/>
        <w:numPr>
          <w:ilvl w:val="3"/>
          <w:numId w:val="1"/>
        </w:numPr>
        <w:ind w:hanging="0" w:left="0"/>
        <w:rPr/>
      </w:pPr>
      <w:r>
        <w:rPr/>
        <w:t>METAL MESH BARRIER SYSTEM</w:t>
      </w:r>
    </w:p>
    <w:p>
      <w:pPr>
        <w:pStyle w:val="PR1"/>
        <w:numPr>
          <w:ilvl w:val="4"/>
          <w:numId w:val="1"/>
        </w:numPr>
        <w:ind w:hanging="0" w:left="0"/>
        <w:rPr/>
      </w:pPr>
      <w:r>
        <w:rPr/>
        <w:t xml:space="preserve">Stainless-Steel Mesh: </w:t>
      </w:r>
      <w:r>
        <w:rPr>
          <w:rStyle w:val="IP"/>
        </w:rPr>
        <w:t>0.025-by-0.018-inch</w:t>
      </w:r>
      <w:r>
        <w:rPr>
          <w:rStyle w:val="SI"/>
        </w:rPr>
        <w:t xml:space="preserve"> (0.64-by-0.45-mm)</w:t>
      </w:r>
      <w:r>
        <w:rPr/>
        <w:t xml:space="preserve"> mesh of </w:t>
      </w:r>
      <w:r>
        <w:rPr>
          <w:rStyle w:val="IP"/>
        </w:rPr>
        <w:t>0.08-inch-</w:t>
      </w:r>
      <w:r>
        <w:rPr>
          <w:rStyle w:val="SI"/>
        </w:rPr>
        <w:t xml:space="preserve"> (2.0-mm-)</w:t>
      </w:r>
      <w:r>
        <w:rPr/>
        <w:t xml:space="preserve"> diameter, stainless-steel wire, Type 316.</w:t>
      </w:r>
    </w:p>
    <w:p>
      <w:pPr>
        <w:pStyle w:val="PR2"/>
        <w:numPr>
          <w:ilvl w:val="5"/>
          <w:numId w:val="1"/>
        </w:numPr>
        <w:spacing w:before="240" w:after="0"/>
        <w:ind w:hanging="0" w:left="0"/>
        <w:rPr/>
      </w:pPr>
      <w:hyperlink r:id="rId6">
        <w:r>
          <w:rPr>
            <w:rStyle w:val="Hyperlink"/>
          </w:rPr>
          <w:t>&lt;Double click here to find, evaluate, and insert list of manufacturers and products.&gt;</w:t>
        </w:r>
      </w:hyperlink>
    </w:p>
    <w:p>
      <w:pPr>
        <w:pStyle w:val="PRT"/>
        <w:numPr>
          <w:ilvl w:val="0"/>
          <w:numId w:val="1"/>
        </w:numPr>
        <w:ind w:hanging="0" w:left="0"/>
        <w:rPr/>
      </w:pPr>
      <w:r>
        <w:rPr/>
        <w:t>EXECUTION</w:t>
      </w:r>
    </w:p>
    <w:p>
      <w:pPr>
        <w:pStyle w:val="ART"/>
        <w:numPr>
          <w:ilvl w:val="3"/>
          <w:numId w:val="1"/>
        </w:numPr>
        <w:ind w:hanging="0" w:left="0"/>
        <w:rPr/>
      </w:pPr>
      <w:r>
        <w:rPr/>
        <w:t>EXAMINATION</w:t>
      </w:r>
    </w:p>
    <w:p>
      <w:pPr>
        <w:pStyle w:val="CMT"/>
        <w:rPr/>
      </w:pPr>
      <w:r>
        <w:rPr/>
        <w:t>Revise this article if soil treatment is not included in Project.</w:t>
      </w:r>
    </w:p>
    <w:p>
      <w:pPr>
        <w:pStyle w:val="PR1"/>
        <w:numPr>
          <w:ilvl w:val="4"/>
          <w:numId w:val="1"/>
        </w:numPr>
        <w:ind w:hanging="0" w:left="0"/>
        <w:rPr/>
      </w:pPr>
      <w:r>
        <w:rPr/>
        <w:t>Examine substrates, areas, and conditions, with Applicator present, for compliance with requirements for[</w:t>
      </w:r>
      <w:r>
        <w:rPr>
          <w:b/>
        </w:rPr>
        <w:t> moisture content of soil per termiticide label,</w:t>
      </w:r>
      <w:r>
        <w:rPr/>
        <w:t>] interfaces with earthwork, slab and foundation work, landscaping, utility installation, and other conditions affecting performance of termite control.</w:t>
      </w:r>
    </w:p>
    <w:p>
      <w:pPr>
        <w:pStyle w:val="PR1"/>
        <w:numPr>
          <w:ilvl w:val="4"/>
          <w:numId w:val="1"/>
        </w:numPr>
        <w:ind w:hanging="0" w:left="0"/>
        <w:rPr/>
      </w:pPr>
      <w:r>
        <w:rPr/>
        <w:t>Proceed with application only after unsatisfactory conditions have been corrected.</w:t>
      </w:r>
    </w:p>
    <w:p>
      <w:pPr>
        <w:pStyle w:val="ART"/>
        <w:numPr>
          <w:ilvl w:val="3"/>
          <w:numId w:val="1"/>
        </w:numPr>
        <w:ind w:hanging="0" w:left="0"/>
        <w:rPr/>
      </w:pPr>
      <w:r>
        <w:rPr/>
        <w:t>PREPARATION</w:t>
      </w:r>
    </w:p>
    <w:p>
      <w:pPr>
        <w:pStyle w:val="PR1"/>
        <w:numPr>
          <w:ilvl w:val="4"/>
          <w:numId w:val="1"/>
        </w:numPr>
        <w:ind w:hanging="0" w:left="0"/>
        <w:rPr/>
      </w:pPr>
      <w:r>
        <w:rPr/>
        <w:t>General: Prepare work areas according to the requirements of authorities having jurisdiction and according to manufacturer's written instructions before beginning application and installation of termite control treatment(s). Remove extraneous sources of wood cellulose and other edible materials, such as wood debris, tree stumps and roots, stakes, formwork, and construction waste wood from soil within and around foundations.</w:t>
      </w:r>
    </w:p>
    <w:p>
      <w:pPr>
        <w:pStyle w:val="CMT"/>
        <w:rPr/>
      </w:pPr>
      <w:r>
        <w:rPr/>
        <w:t>Retain "Soil Treatment Preparation" Paragraph below if soil treatment is required.</w:t>
      </w:r>
    </w:p>
    <w:p>
      <w:pPr>
        <w:pStyle w:val="PR1"/>
        <w:numPr>
          <w:ilvl w:val="4"/>
          <w:numId w:val="1"/>
        </w:numPr>
        <w:ind w:hanging="0" w:left="0"/>
        <w:rPr/>
      </w:pPr>
      <w:r>
        <w:rPr/>
        <w:t>Soil Treatment Preparation: Remove foreign matter and impermeable soil materials that could decrease treatment effectiveness on areas to be treated. Loosen, rake, and level soil to be treated, except previously compacted areas under slabs and footings. Termiticides may be applied before placing compacted fill under slabs if recommended in writing by termiticide manufacturer.</w:t>
      </w:r>
    </w:p>
    <w:p>
      <w:pPr>
        <w:pStyle w:val="PR2"/>
        <w:numPr>
          <w:ilvl w:val="5"/>
          <w:numId w:val="1"/>
        </w:numPr>
        <w:spacing w:before="240" w:after="0"/>
        <w:ind w:hanging="0" w:left="0"/>
        <w:rPr/>
      </w:pPr>
      <w:r>
        <w:rPr/>
        <w:t>Fit filling hose connected to water source at the site with a backflow preventer, according to requirements of authorities having jurisdiction.</w:t>
      </w:r>
    </w:p>
    <w:p>
      <w:pPr>
        <w:pStyle w:val="ART"/>
        <w:numPr>
          <w:ilvl w:val="3"/>
          <w:numId w:val="1"/>
        </w:numPr>
        <w:ind w:hanging="0" w:left="0"/>
        <w:rPr/>
      </w:pPr>
      <w:r>
        <w:rPr/>
        <w:t>APPLYING SOIL TREATMENT</w:t>
      </w:r>
    </w:p>
    <w:p>
      <w:pPr>
        <w:pStyle w:val="CMT"/>
        <w:rPr/>
      </w:pPr>
      <w:r>
        <w:rPr/>
        <w:t>Retain this article for soil treatment; revise to suit Project. Products must be applied according to product's EPA-Registered Label.</w:t>
      </w:r>
    </w:p>
    <w:p>
      <w:pPr>
        <w:pStyle w:val="PR1"/>
        <w:numPr>
          <w:ilvl w:val="4"/>
          <w:numId w:val="1"/>
        </w:numPr>
        <w:ind w:hanging="0" w:left="0"/>
        <w:rPr/>
      </w:pPr>
      <w:r>
        <w:rPr/>
        <w:t>Application: Mix soil treatment termiticide solution to a uniform consistency. Distribute treatment uniformly. Apply treatment at the product's EPA-Registered Label volume and rate for maximum specified concentration of termiticide to the following so that a continuous horizontal and vertical termiticidal barrier or treated zone is established around and under building construction.</w:t>
      </w:r>
    </w:p>
    <w:p>
      <w:pPr>
        <w:pStyle w:val="PR2"/>
        <w:numPr>
          <w:ilvl w:val="5"/>
          <w:numId w:val="1"/>
        </w:numPr>
        <w:spacing w:before="240" w:after="0"/>
        <w:ind w:hanging="0" w:left="0"/>
        <w:rPr/>
      </w:pPr>
      <w:r>
        <w:rPr/>
        <w:t>Slabs-on-Grade and Basement Slabs: Under ground-supported slab construction, including footings, building slabs, and attached slabs as an overall treatment. Treat soil materials before concrete footings and slabs are placed.</w:t>
      </w:r>
    </w:p>
    <w:p>
      <w:pPr>
        <w:pStyle w:val="PR2"/>
        <w:numPr>
          <w:ilvl w:val="5"/>
          <w:numId w:val="1"/>
        </w:numPr>
        <w:ind w:hanging="0" w:left="0"/>
        <w:rPr/>
      </w:pPr>
      <w:r>
        <w:rPr/>
        <w:t>Foundations: Soil adjacent to and along the entire inside perimeter of foundation walls; along both sides of interior partition walls; around plumbing pipes and electric conduit penetrating the slab; around interior column footers, piers, and chimney bases; and along the entire outside perimeter, from grade to bottom of footing.</w:t>
      </w:r>
    </w:p>
    <w:p>
      <w:pPr>
        <w:pStyle w:val="PR2"/>
        <w:numPr>
          <w:ilvl w:val="5"/>
          <w:numId w:val="1"/>
        </w:numPr>
        <w:ind w:hanging="0" w:left="0"/>
        <w:rPr/>
      </w:pPr>
      <w:r>
        <w:rPr/>
        <w:t>Crawlspaces: Soil under and adjacent to foundations. Treat adjacent areas, including around entrance platform, porches, and equipment bases. Apply overall treatment only where attached concrete platform and porches are on fill or ground.</w:t>
      </w:r>
    </w:p>
    <w:p>
      <w:pPr>
        <w:pStyle w:val="CMT"/>
        <w:rPr/>
      </w:pPr>
      <w:r>
        <w:rPr/>
        <w:t>Examples of masonry voids are the insides of hollow masonry units and behind masonry veneer.</w:t>
      </w:r>
    </w:p>
    <w:p>
      <w:pPr>
        <w:pStyle w:val="PR2"/>
        <w:numPr>
          <w:ilvl w:val="5"/>
          <w:numId w:val="1"/>
        </w:numPr>
        <w:ind w:hanging="0" w:left="0"/>
        <w:rPr/>
      </w:pPr>
      <w:r>
        <w:rPr/>
        <w:t>Masonry: Treat voids.</w:t>
      </w:r>
    </w:p>
    <w:p>
      <w:pPr>
        <w:pStyle w:val="PR2"/>
        <w:numPr>
          <w:ilvl w:val="5"/>
          <w:numId w:val="1"/>
        </w:numPr>
        <w:ind w:hanging="0" w:left="0"/>
        <w:rPr/>
      </w:pPr>
      <w:r>
        <w:rPr/>
        <w:t>Penetrations: At expansion joints, control joints, and areas where slabs and below-grade walls will be penetrated.</w:t>
      </w:r>
    </w:p>
    <w:p>
      <w:pPr>
        <w:pStyle w:val="PR1"/>
        <w:numPr>
          <w:ilvl w:val="4"/>
          <w:numId w:val="1"/>
        </w:numPr>
        <w:ind w:hanging="0" w:left="0"/>
        <w:rPr/>
      </w:pPr>
      <w:r>
        <w:rPr/>
        <w:t>Post warning signs in areas of application.</w:t>
      </w:r>
    </w:p>
    <w:p>
      <w:pPr>
        <w:pStyle w:val="PR1"/>
        <w:numPr>
          <w:ilvl w:val="4"/>
          <w:numId w:val="1"/>
        </w:numPr>
        <w:ind w:hanging="0" w:left="0"/>
        <w:rPr/>
      </w:pPr>
      <w:r>
        <w:rPr/>
        <w:t>Reapply soil treatment solution to areas disturbed by subsequent excavation, grading, landscaping, or other construction activities following application.</w:t>
      </w:r>
    </w:p>
    <w:p>
      <w:pPr>
        <w:pStyle w:val="ART"/>
        <w:numPr>
          <w:ilvl w:val="3"/>
          <w:numId w:val="1"/>
        </w:numPr>
        <w:ind w:hanging="0" w:left="0"/>
        <w:rPr/>
      </w:pPr>
      <w:r>
        <w:rPr/>
        <w:t>APPLYING WOOD TREATMENT</w:t>
      </w:r>
    </w:p>
    <w:p>
      <w:pPr>
        <w:pStyle w:val="CMT"/>
        <w:rPr/>
      </w:pPr>
      <w:r>
        <w:rPr/>
        <w:t>Retain this article for wood treatment; revise to suit Project. Products must be applied according to product's EPA-Registered Label.</w:t>
      </w:r>
    </w:p>
    <w:p>
      <w:pPr>
        <w:pStyle w:val="PR1"/>
        <w:numPr>
          <w:ilvl w:val="4"/>
          <w:numId w:val="1"/>
        </w:numPr>
        <w:ind w:hanging="0" w:left="0"/>
        <w:rPr/>
      </w:pPr>
      <w:r>
        <w:rPr/>
        <w:t>Wood Treatment: Apply wood treatment after framing, sheathing, and exterior weather protection is completed but before electrical and mechanical systems are installed.</w:t>
      </w:r>
    </w:p>
    <w:p>
      <w:pPr>
        <w:pStyle w:val="PR1"/>
        <w:numPr>
          <w:ilvl w:val="4"/>
          <w:numId w:val="1"/>
        </w:numPr>
        <w:ind w:hanging="0" w:left="0"/>
        <w:rPr/>
      </w:pPr>
      <w:r>
        <w:rPr/>
        <w:t>Application: Mix borate wood treatment solution to a uniform consistency. Apply treatment at the product's EPA-Registered Label volume and rate for the maximum borate concentration allowed for each specific use so that wood framing, sheathing, siding, and structural members subject to infestation receive treatment.[</w:t>
      </w:r>
      <w:r>
        <w:rPr>
          <w:b/>
        </w:rPr>
        <w:t xml:space="preserve"> Apply treatment to the height of </w:t>
      </w:r>
      <w:r>
        <w:rPr>
          <w:rStyle w:val="IP"/>
          <w:b/>
        </w:rPr>
        <w:t>8 feet</w:t>
      </w:r>
      <w:r>
        <w:rPr>
          <w:rStyle w:val="SI"/>
          <w:b/>
        </w:rPr>
        <w:t xml:space="preserve"> (244 mm)</w:t>
      </w:r>
      <w:r>
        <w:rPr>
          <w:b/>
        </w:rPr>
        <w:t xml:space="preserve"> above grade</w:t>
      </w:r>
      <w:r>
        <w:rPr/>
        <w:t>] &lt;</w:t>
      </w:r>
      <w:r>
        <w:rPr>
          <w:b/>
        </w:rPr>
        <w:t>Insert requirement</w:t>
      </w:r>
      <w:r>
        <w:rPr/>
        <w:t>&gt;.</w:t>
      </w:r>
    </w:p>
    <w:p>
      <w:pPr>
        <w:pStyle w:val="PR2"/>
        <w:numPr>
          <w:ilvl w:val="5"/>
          <w:numId w:val="1"/>
        </w:numPr>
        <w:spacing w:before="240" w:after="0"/>
        <w:ind w:hanging="0" w:left="0"/>
        <w:rPr/>
      </w:pPr>
      <w:r>
        <w:rPr/>
        <w:t>Framing and Sheathing: Apply termiticide solution by spray to bare wood and with complete coverage.</w:t>
      </w:r>
    </w:p>
    <w:p>
      <w:pPr>
        <w:pStyle w:val="CMT"/>
        <w:rPr/>
      </w:pPr>
      <w:r>
        <w:rPr/>
        <w:t>If retaining "Heavy Wood Members" Subparagraph below, consult manufacturer and verify that holes and treatment will not reduce performance of structural members.</w:t>
      </w:r>
    </w:p>
    <w:p>
      <w:pPr>
        <w:pStyle w:val="PR2"/>
        <w:numPr>
          <w:ilvl w:val="5"/>
          <w:numId w:val="1"/>
        </w:numPr>
        <w:ind w:hanging="0" w:left="0"/>
        <w:rPr/>
      </w:pPr>
      <w:r>
        <w:rPr/>
        <w:t xml:space="preserve">Heavy Wood Members: For wood greater than </w:t>
      </w:r>
      <w:r>
        <w:rPr>
          <w:rStyle w:val="IP"/>
        </w:rPr>
        <w:t>4 inches</w:t>
      </w:r>
      <w:r>
        <w:rPr>
          <w:rStyle w:val="SI"/>
        </w:rPr>
        <w:t xml:space="preserve"> (100 mm)</w:t>
      </w:r>
      <w:r>
        <w:rPr/>
        <w:t xml:space="preserve"> thick, inject termiticide gel solution under pressure into holes of size and spacing required by manufacturer for treatment.</w:t>
      </w:r>
    </w:p>
    <w:p>
      <w:pPr>
        <w:pStyle w:val="PR2"/>
        <w:numPr>
          <w:ilvl w:val="5"/>
          <w:numId w:val="1"/>
        </w:numPr>
        <w:ind w:hanging="0" w:left="0"/>
        <w:rPr/>
      </w:pPr>
      <w:r>
        <w:rPr/>
        <w:t>Exterior Uncoated Wood Trim and Siding: Apply termiticide solution to bare wood only when forecasted weather conditions indicate no precipitation or fog before application of seal coat. After 48 hours, verify that surface is sufficiently dry for seal coat and apply seal coat of [</w:t>
      </w:r>
      <w:r>
        <w:rPr>
          <w:b/>
        </w:rPr>
        <w:t>paint</w:t>
      </w:r>
      <w:r>
        <w:rPr/>
        <w:t>] &lt;</w:t>
      </w:r>
      <w:r>
        <w:rPr>
          <w:b/>
        </w:rPr>
        <w:t>Insert coating</w:t>
      </w:r>
      <w:r>
        <w:rPr/>
        <w:t>&gt; as specified in [</w:t>
      </w:r>
      <w:r>
        <w:rPr>
          <w:b/>
        </w:rPr>
        <w:t>Section 099113 "Exterior Painting."</w:t>
      </w:r>
      <w:r>
        <w:rPr/>
        <w:t>] &lt;</w:t>
      </w:r>
      <w:r>
        <w:rPr>
          <w:b/>
        </w:rPr>
        <w:t>Insert Section title</w:t>
      </w:r>
      <w:r>
        <w:rPr/>
        <w:t>&gt;.</w:t>
      </w:r>
    </w:p>
    <w:p>
      <w:pPr>
        <w:pStyle w:val="ART"/>
        <w:numPr>
          <w:ilvl w:val="3"/>
          <w:numId w:val="1"/>
        </w:numPr>
        <w:ind w:hanging="0" w:left="0"/>
        <w:rPr/>
      </w:pPr>
      <w:r>
        <w:rPr/>
        <w:t>INSTALLING BAIT-STATION SYSTEM</w:t>
      </w:r>
    </w:p>
    <w:p>
      <w:pPr>
        <w:pStyle w:val="CMT"/>
        <w:rPr/>
      </w:pPr>
      <w:r>
        <w:rPr/>
        <w:t>Retain this article for bait stations; revise to suit Project. Strategies and installations of bait-station systems vary among products. Procedures on the EPA-Registered Label, including guidelines for bait-station placement, inspecting, and servicing, must be followed.</w:t>
      </w:r>
    </w:p>
    <w:p>
      <w:pPr>
        <w:pStyle w:val="CMT"/>
        <w:rPr/>
      </w:pPr>
      <w:r>
        <w:rPr/>
        <w:t>Retain first option in "Bait-Station System" Paragraph below if bait-station system concurrent with construction is required. Monitoring during construction may be useful if site infestation conditions are unknown before construction.</w:t>
      </w:r>
    </w:p>
    <w:p>
      <w:pPr>
        <w:pStyle w:val="PR1"/>
        <w:numPr>
          <w:ilvl w:val="4"/>
          <w:numId w:val="1"/>
        </w:numPr>
        <w:ind w:hanging="0" w:left="0"/>
        <w:rPr/>
      </w:pPr>
      <w:r>
        <w:rPr/>
        <w:t>Bait-Station System: Install [</w:t>
      </w:r>
      <w:r>
        <w:rPr>
          <w:b/>
        </w:rPr>
        <w:t>during construction to determine areas of termite activity</w:t>
      </w:r>
      <w:r>
        <w:rPr/>
        <w:t>] [</w:t>
      </w:r>
      <w:r>
        <w:rPr>
          <w:b/>
        </w:rPr>
        <w:t>and</w:t>
      </w:r>
      <w:r>
        <w:rPr/>
        <w:t>] [</w:t>
      </w:r>
      <w:r>
        <w:rPr>
          <w:b/>
        </w:rPr>
        <w:t>after construction, including landscaping, is completed</w:t>
      </w:r>
      <w:r>
        <w:rPr/>
        <w:t>].</w:t>
      </w:r>
    </w:p>
    <w:p>
      <w:pPr>
        <w:pStyle w:val="PR1"/>
        <w:numPr>
          <w:ilvl w:val="4"/>
          <w:numId w:val="1"/>
        </w:numPr>
        <w:ind w:hanging="0" w:left="0"/>
        <w:rPr/>
      </w:pPr>
      <w:r>
        <w:rPr/>
        <w:t>Place bait stations according to product's EPA-Registered Label and manufacturer's written instructions, in the following locations:</w:t>
      </w:r>
    </w:p>
    <w:p>
      <w:pPr>
        <w:pStyle w:val="CMT"/>
        <w:rPr/>
      </w:pPr>
      <w:r>
        <w:rPr/>
        <w:t>Subparagraphs below are examples only; revise them and insert others to suit Project. Indicate locations on Drawings if descriptions below are inadequate.</w:t>
      </w:r>
    </w:p>
    <w:p>
      <w:pPr>
        <w:pStyle w:val="PR2"/>
        <w:numPr>
          <w:ilvl w:val="5"/>
          <w:numId w:val="1"/>
        </w:numPr>
        <w:spacing w:before="240" w:after="0"/>
        <w:ind w:hanging="0" w:left="0"/>
        <w:rPr/>
      </w:pPr>
      <w:r>
        <w:rPr/>
        <w:t>Conducive sites and locations indicated on Drawings.</w:t>
      </w:r>
    </w:p>
    <w:p>
      <w:pPr>
        <w:pStyle w:val="PR2"/>
        <w:numPr>
          <w:ilvl w:val="5"/>
          <w:numId w:val="1"/>
        </w:numPr>
        <w:ind w:hanging="0" w:left="0"/>
        <w:rPr/>
      </w:pPr>
      <w:r>
        <w:rPr/>
        <w:t>In and around infested trees and stumps.</w:t>
      </w:r>
    </w:p>
    <w:p>
      <w:pPr>
        <w:pStyle w:val="PR2"/>
        <w:numPr>
          <w:ilvl w:val="5"/>
          <w:numId w:val="1"/>
        </w:numPr>
        <w:ind w:hanging="0" w:left="0"/>
        <w:rPr/>
      </w:pPr>
      <w:r>
        <w:rPr/>
        <w:t>In mulch beds.</w:t>
      </w:r>
    </w:p>
    <w:p>
      <w:pPr>
        <w:pStyle w:val="PR2"/>
        <w:numPr>
          <w:ilvl w:val="5"/>
          <w:numId w:val="1"/>
        </w:numPr>
        <w:ind w:hanging="0" w:left="0"/>
        <w:rPr/>
      </w:pPr>
      <w:r>
        <w:rPr/>
        <w:t>Where wood directly contacts soil.</w:t>
      </w:r>
    </w:p>
    <w:p>
      <w:pPr>
        <w:pStyle w:val="PR2"/>
        <w:numPr>
          <w:ilvl w:val="5"/>
          <w:numId w:val="1"/>
        </w:numPr>
        <w:ind w:hanging="0" w:left="0"/>
        <w:rPr/>
      </w:pPr>
      <w:r>
        <w:rPr/>
        <w:t>Areas of high soil moisture.</w:t>
      </w:r>
    </w:p>
    <w:p>
      <w:pPr>
        <w:pStyle w:val="PR2"/>
        <w:numPr>
          <w:ilvl w:val="5"/>
          <w:numId w:val="1"/>
        </w:numPr>
        <w:ind w:hanging="0" w:left="0"/>
        <w:rPr/>
      </w:pPr>
      <w:r>
        <w:rPr/>
        <w:t>Near irrigation sprinkler heads.</w:t>
      </w:r>
    </w:p>
    <w:p>
      <w:pPr>
        <w:pStyle w:val="PR2"/>
        <w:numPr>
          <w:ilvl w:val="5"/>
          <w:numId w:val="1"/>
        </w:numPr>
        <w:ind w:hanging="0" w:left="0"/>
        <w:rPr/>
      </w:pPr>
      <w:r>
        <w:rPr/>
        <w:t>Each area where roof drainage system, including downspouts and scuppers, drains to soil.</w:t>
      </w:r>
    </w:p>
    <w:p>
      <w:pPr>
        <w:pStyle w:val="PR2"/>
        <w:numPr>
          <w:ilvl w:val="5"/>
          <w:numId w:val="1"/>
        </w:numPr>
        <w:ind w:hanging="0" w:left="0"/>
        <w:rPr/>
      </w:pPr>
      <w:r>
        <w:rPr/>
        <w:t>Along driplines of roof overhangs without gutters.</w:t>
      </w:r>
    </w:p>
    <w:p>
      <w:pPr>
        <w:pStyle w:val="PR2"/>
        <w:numPr>
          <w:ilvl w:val="5"/>
          <w:numId w:val="1"/>
        </w:numPr>
        <w:ind w:hanging="0" w:left="0"/>
        <w:rPr/>
      </w:pPr>
      <w:r>
        <w:rPr/>
        <w:t>Where condensate lines from mechanical equipment drip or drain to soil.</w:t>
      </w:r>
    </w:p>
    <w:p>
      <w:pPr>
        <w:pStyle w:val="PR2"/>
        <w:numPr>
          <w:ilvl w:val="5"/>
          <w:numId w:val="1"/>
        </w:numPr>
        <w:ind w:hanging="0" w:left="0"/>
        <w:rPr/>
      </w:pPr>
      <w:r>
        <w:rPr/>
        <w:t>At plumbing penetrations through ground-supported slabs.</w:t>
      </w:r>
    </w:p>
    <w:p>
      <w:pPr>
        <w:pStyle w:val="PR2"/>
        <w:numPr>
          <w:ilvl w:val="5"/>
          <w:numId w:val="1"/>
        </w:numPr>
        <w:ind w:hanging="0" w:left="0"/>
        <w:rPr/>
      </w:pPr>
      <w:r>
        <w:rPr/>
        <w:t>Other sites and locations as determined by licensed Installer.</w:t>
      </w:r>
    </w:p>
    <w:p>
      <w:pPr>
        <w:pStyle w:val="PR1"/>
        <w:numPr>
          <w:ilvl w:val="4"/>
          <w:numId w:val="1"/>
        </w:numPr>
        <w:ind w:hanging="0" w:left="0"/>
        <w:rPr/>
      </w:pPr>
      <w:r>
        <w:rPr/>
        <w:t>Spacing: Place bait stations according to manufacturer's written instructions and at a frequency no less than the following:</w:t>
      </w:r>
    </w:p>
    <w:p>
      <w:pPr>
        <w:pStyle w:val="CMT"/>
        <w:rPr/>
      </w:pPr>
      <w:r>
        <w:rPr/>
        <w:t>Retain one of first two subparagraphs below based on manufacturer's recommended minimum spacing and number of bait stations in a cluster. Insert other requirements to suit Project.</w:t>
      </w:r>
    </w:p>
    <w:p>
      <w:pPr>
        <w:pStyle w:val="PR2"/>
        <w:numPr>
          <w:ilvl w:val="5"/>
          <w:numId w:val="1"/>
        </w:numPr>
        <w:spacing w:before="240" w:after="0"/>
        <w:ind w:hanging="0" w:left="0"/>
        <w:rPr/>
      </w:pPr>
      <w:r>
        <w:rPr/>
        <w:t>One bait station per [</w:t>
      </w:r>
      <w:r>
        <w:rPr>
          <w:rStyle w:val="IP"/>
          <w:b/>
        </w:rPr>
        <w:t>8 linear feet</w:t>
      </w:r>
      <w:r>
        <w:rPr>
          <w:rStyle w:val="SI"/>
          <w:b/>
        </w:rPr>
        <w:t xml:space="preserve"> (2.4 linear meters)</w:t>
      </w:r>
      <w:r>
        <w:rPr/>
        <w:t>] [</w:t>
      </w:r>
      <w:r>
        <w:rPr>
          <w:rStyle w:val="IP"/>
          <w:b/>
        </w:rPr>
        <w:t>20 linear feet</w:t>
      </w:r>
      <w:r>
        <w:rPr>
          <w:rStyle w:val="SI"/>
          <w:b/>
        </w:rPr>
        <w:t xml:space="preserve"> (6.1 linear meters)</w:t>
      </w:r>
      <w:r>
        <w:rPr/>
        <w:t>] &lt;</w:t>
      </w:r>
      <w:r>
        <w:rPr>
          <w:b/>
        </w:rPr>
        <w:t>Insert value</w:t>
      </w:r>
      <w:r>
        <w:rPr/>
        <w:t>&gt;.</w:t>
      </w:r>
    </w:p>
    <w:p>
      <w:pPr>
        <w:pStyle w:val="PR2"/>
        <w:numPr>
          <w:ilvl w:val="5"/>
          <w:numId w:val="1"/>
        </w:numPr>
        <w:ind w:hanging="0" w:left="0"/>
        <w:rPr/>
      </w:pPr>
      <w:r>
        <w:rPr/>
        <w:t xml:space="preserve">One cluster of bait stations per </w:t>
      </w:r>
      <w:r>
        <w:rPr>
          <w:rStyle w:val="IP"/>
        </w:rPr>
        <w:t>20 linear feet</w:t>
      </w:r>
      <w:r>
        <w:rPr>
          <w:rStyle w:val="SI"/>
        </w:rPr>
        <w:t xml:space="preserve"> (6.1 linear meters)</w:t>
      </w:r>
      <w:r>
        <w:rPr/>
        <w:t>, with no fewer than three bait stations per cluster.</w:t>
      </w:r>
    </w:p>
    <w:p>
      <w:pPr>
        <w:pStyle w:val="ART"/>
        <w:numPr>
          <w:ilvl w:val="3"/>
          <w:numId w:val="1"/>
        </w:numPr>
        <w:ind w:hanging="0" w:left="0"/>
        <w:rPr/>
      </w:pPr>
      <w:r>
        <w:rPr/>
        <w:t>INSTALLING METAL MESH BARRIER SYSTEM</w:t>
      </w:r>
    </w:p>
    <w:p>
      <w:pPr>
        <w:pStyle w:val="PR1"/>
        <w:numPr>
          <w:ilvl w:val="4"/>
          <w:numId w:val="1"/>
        </w:numPr>
        <w:ind w:hanging="0" w:left="0"/>
        <w:rPr/>
      </w:pPr>
      <w:r>
        <w:rPr/>
        <w:t>Install metal mesh barrier system to provide a continuous barrier to entry of subterranean termites, according to manufacturer's written instructions.</w:t>
      </w:r>
    </w:p>
    <w:p>
      <w:pPr>
        <w:pStyle w:val="PR2"/>
        <w:numPr>
          <w:ilvl w:val="5"/>
          <w:numId w:val="1"/>
        </w:numPr>
        <w:spacing w:before="240" w:after="0"/>
        <w:ind w:hanging="0" w:left="0"/>
        <w:rPr/>
      </w:pPr>
      <w:r>
        <w:rPr/>
        <w:t>Fit mesh tightly around pipes and other penetrations and terminate at slab and foundation perimeters.</w:t>
      </w:r>
    </w:p>
    <w:p>
      <w:pPr>
        <w:pStyle w:val="PR2"/>
        <w:numPr>
          <w:ilvl w:val="5"/>
          <w:numId w:val="1"/>
        </w:numPr>
        <w:ind w:hanging="0" w:left="0"/>
        <w:rPr/>
      </w:pPr>
      <w:r>
        <w:rPr/>
        <w:t>Install mesh under the perimeter of concrete slab edges and joints after vapor retarder and reinforcing steel are in place.</w:t>
      </w:r>
    </w:p>
    <w:p>
      <w:pPr>
        <w:pStyle w:val="ART"/>
        <w:numPr>
          <w:ilvl w:val="3"/>
          <w:numId w:val="1"/>
        </w:numPr>
        <w:ind w:hanging="0" w:left="0"/>
        <w:rPr/>
      </w:pPr>
      <w:r>
        <w:rPr/>
        <w:t>PROTECTION</w:t>
      </w:r>
    </w:p>
    <w:p>
      <w:pPr>
        <w:pStyle w:val="PR1"/>
        <w:numPr>
          <w:ilvl w:val="4"/>
          <w:numId w:val="1"/>
        </w:numPr>
        <w:ind w:hanging="0" w:left="0"/>
        <w:rPr/>
      </w:pPr>
      <w:r>
        <w:rPr/>
        <w:t>Avoid disturbance of treated soil after application. Keep off treated areas until completely dry.</w:t>
      </w:r>
    </w:p>
    <w:p>
      <w:pPr>
        <w:pStyle w:val="PR1"/>
        <w:numPr>
          <w:ilvl w:val="4"/>
          <w:numId w:val="1"/>
        </w:numPr>
        <w:ind w:hanging="0" w:left="0"/>
        <w:rPr/>
      </w:pPr>
      <w:r>
        <w:rPr/>
        <w:t>Protect termiticide solution dispersed in treated soils and fills from being diluted by exposure to water spillage or weather until ground-supported slabs are installed. Use waterproof barrier according to EPA-Registered Label instructions.</w:t>
      </w:r>
    </w:p>
    <w:p>
      <w:pPr>
        <w:pStyle w:val="ART"/>
        <w:numPr>
          <w:ilvl w:val="3"/>
          <w:numId w:val="1"/>
        </w:numPr>
        <w:ind w:hanging="0" w:left="0"/>
        <w:rPr/>
      </w:pPr>
      <w:r>
        <w:rPr/>
        <w:t>MAINTENANCE SERVICE</w:t>
      </w:r>
    </w:p>
    <w:p>
      <w:pPr>
        <w:pStyle w:val="CMT"/>
        <w:rPr/>
      </w:pPr>
      <w:r>
        <w:rPr/>
        <w:t>Verify with Owner that maintenance service is required for Project. Bait-station systems and metal mesh barriers require product-specific and continuing postconstruction monitoring and treatment.</w:t>
      </w:r>
    </w:p>
    <w:p>
      <w:pPr>
        <w:pStyle w:val="PR1"/>
        <w:numPr>
          <w:ilvl w:val="4"/>
          <w:numId w:val="1"/>
        </w:numPr>
        <w:ind w:hanging="0" w:left="0"/>
        <w:rPr/>
      </w:pPr>
      <w:r>
        <w:rPr/>
        <w:t>Maintenance Service: Beginning at Substantial Completion, maintenance service shall include [</w:t>
      </w:r>
      <w:r>
        <w:rPr>
          <w:b/>
        </w:rPr>
        <w:t>three</w:t>
      </w:r>
      <w:r>
        <w:rPr/>
        <w:t>] [</w:t>
      </w:r>
      <w:r>
        <w:rPr>
          <w:b/>
        </w:rPr>
        <w:t>six</w:t>
      </w:r>
      <w:r>
        <w:rPr/>
        <w:t>] [</w:t>
      </w:r>
      <w:r>
        <w:rPr>
          <w:b/>
        </w:rPr>
        <w:t>nine</w:t>
      </w:r>
      <w:r>
        <w:rPr/>
        <w:t>] [</w:t>
      </w:r>
      <w:r>
        <w:rPr>
          <w:b/>
        </w:rPr>
        <w:t>12</w:t>
      </w:r>
      <w:r>
        <w:rPr/>
        <w:t>] months' full maintenance by[</w:t>
      </w:r>
      <w:r>
        <w:rPr>
          <w:b/>
        </w:rPr>
        <w:t> skilled employees of termite-control-treatment Installer</w:t>
      </w:r>
      <w:r>
        <w:rPr/>
        <w:t>] [</w:t>
      </w:r>
      <w:r>
        <w:rPr>
          <w:b/>
        </w:rPr>
        <w:t> manufacturer's authorized service representative</w:t>
      </w:r>
      <w:r>
        <w:rPr/>
        <w:t>]. Include [</w:t>
      </w:r>
      <w:r>
        <w:rPr>
          <w:b/>
        </w:rPr>
        <w:t>monthly</w:t>
      </w:r>
      <w:r>
        <w:rPr/>
        <w:t>] [</w:t>
      </w:r>
      <w:r>
        <w:rPr>
          <w:b/>
        </w:rPr>
        <w:t>quarterly</w:t>
      </w:r>
      <w:r>
        <w:rPr/>
        <w:t>] [</w:t>
      </w:r>
      <w:r>
        <w:rPr>
          <w:b/>
        </w:rPr>
        <w:t>semiannual</w:t>
      </w:r>
      <w:r>
        <w:rPr/>
        <w:t>] [</w:t>
      </w:r>
      <w:r>
        <w:rPr>
          <w:b/>
        </w:rPr>
        <w:t>annual</w:t>
      </w:r>
      <w:r>
        <w:rPr/>
        <w:t>] maintenance as required for proper performance according to the product's EPA-Registered Label and manufacturer's written instructions. Parts and supplies shall be manufacturer's authorized replacement parts and supplies.</w:t>
      </w:r>
    </w:p>
    <w:p>
      <w:pPr>
        <w:pStyle w:val="CMT"/>
        <w:rPr/>
      </w:pPr>
      <w:r>
        <w:rPr/>
        <w:t>Retain "Continuing Maintenance Proposal" Paragraph below if required. Continuing maintenance may be required for a warranty. Revise starting date if required.</w:t>
      </w:r>
    </w:p>
    <w:p>
      <w:pPr>
        <w:pStyle w:val="PR1"/>
        <w:numPr>
          <w:ilvl w:val="4"/>
          <w:numId w:val="1"/>
        </w:numPr>
        <w:ind w:hanging="0" w:left="0"/>
        <w:rPr/>
      </w:pPr>
      <w:r>
        <w:rPr/>
        <w:t>Continuing Maintenance Proposal: Provide from termite-control-treatment Installer to Owner, in the form of a standard yearly (or other period) maintenance agreement, starting on date initial maintenance service is concluded. State services, obligations, conditions, and terms for agreement period and for future renewal options.</w:t>
      </w:r>
    </w:p>
    <w:p>
      <w:pPr>
        <w:pStyle w:val="PR2"/>
        <w:numPr>
          <w:ilvl w:val="5"/>
          <w:numId w:val="1"/>
        </w:numPr>
        <w:spacing w:before="240" w:after="0"/>
        <w:ind w:hanging="0" w:left="0"/>
        <w:rPr/>
      </w:pPr>
      <w:r>
        <w:rPr/>
        <w:t>Include [</w:t>
      </w:r>
      <w:r>
        <w:rPr>
          <w:b/>
        </w:rPr>
        <w:t>annual</w:t>
      </w:r>
      <w:r>
        <w:rPr/>
        <w:t>] &lt;</w:t>
      </w:r>
      <w:r>
        <w:rPr>
          <w:b/>
        </w:rPr>
        <w:t>Insert time period</w:t>
      </w:r>
      <w:r>
        <w:rPr/>
        <w:t>&gt; inspection for termite activity and effectiveness of termite treatment according to manufacturer's written instructions.</w:t>
      </w:r>
    </w:p>
    <w:p>
      <w:pPr>
        <w:pStyle w:val="EOS"/>
        <w:rPr/>
      </w:pPr>
      <w:r>
        <w:rPr/>
        <w:t>END OF SECTION 313116</w:t>
      </w:r>
    </w:p>
    <w:sectPr>
      <w:headerReference w:type="default" r:id="rId7"/>
      <w:footerReference w:type="default" r:id="rId8"/>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TERMITE CONTROL</w:t>
          </w:r>
        </w:p>
      </w:tc>
      <w:tc>
        <w:tcPr>
          <w:tcW w:w="1872" w:type="dxa"/>
          <w:tcBorders/>
        </w:tcPr>
        <w:p>
          <w:pPr>
            <w:pStyle w:val="RJUST"/>
            <w:rPr/>
          </w:pPr>
          <w:r>
            <w:rPr>
              <w:rStyle w:val="NUM"/>
            </w:rPr>
            <w:t>313116</w:t>
          </w:r>
          <w:r>
            <w:rPr/>
            <w:t xml:space="preserve"> - </w:t>
          </w:r>
          <w:r>
            <w:rPr/>
            <w:fldChar w:fldCharType="begin"/>
          </w:r>
          <w:r>
            <w:rPr/>
            <w:instrText xml:space="preserve"> PAGE </w:instrText>
          </w:r>
          <w:r>
            <w:rPr/>
            <w:fldChar w:fldCharType="separate"/>
          </w:r>
          <w:r>
            <w:rPr/>
            <w:t>9</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2013 AIA</w:t>
    </w:r>
    <w:r>
      <w:rPr/>
      <w:tab/>
    </w:r>
    <w:r>
      <w:rPr>
        <w:rStyle w:val="SPN"/>
      </w:rPr>
      <w:t>MasterSpec Full Length</w:t>
    </w:r>
    <w:r>
      <w:rPr/>
      <w:tab/>
    </w:r>
    <w:r>
      <w:rPr>
        <w:rStyle w:val="SPD"/>
      </w:rPr>
      <w:t>02/13</w:t>
    </w:r>
    <w:r>
      <mc:AlternateContent>
        <mc:Choice Requires="wps">
          <w:drawing>
            <wp:anchor behindDoc="1" distT="0" distB="0" distL="114935" distR="114935" simplePos="0" locked="0" layoutInCell="1" allowOverlap="1" relativeHeight="10">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2/01/13"/>
    <w:docVar w:name="Format" w:val="1"/>
    <w:docVar w:name="MF04" w:val="313116"/>
    <w:docVar w:name="MF95" w:val="02361"/>
    <w:docVar w:name="SectionID" w:val="45"/>
    <w:docVar w:name="SpecType" w:val="MasterSpec"/>
    <w:docVar w:name="Version" w:val="6139"/>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SAhyperlink">
    <w:name w:val="SAhyperlink"/>
    <w:qFormat/>
    <w:rPr>
      <w:color w:val="E36C0A"/>
      <w:u w:val="single"/>
    </w:rPr>
  </w:style>
  <w:style w:type="character" w:styleId="Hyperlink">
    <w:name w:val="Hyperlink"/>
    <w:rPr>
      <w:color w:val="0000FF"/>
      <w:u w:val="single"/>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313116&amp;ver=02-01-13&amp;format=FL&amp;sid=6139&amp;utm_source=MasterSpec&amp;utm_medium=Word" TargetMode="External"/><Relationship Id="rId3" Type="http://schemas.openxmlformats.org/officeDocument/2006/relationships/hyperlink" Target="http://www.specagent.com/LookUp/?ulid=10007&amp;mf=04&amp;src=wd" TargetMode="External"/><Relationship Id="rId4" Type="http://schemas.openxmlformats.org/officeDocument/2006/relationships/hyperlink" Target="http://www.specagent.com/LookUp/?ulid=10008&amp;mf=04&amp;src=wd" TargetMode="External"/><Relationship Id="rId5" Type="http://schemas.openxmlformats.org/officeDocument/2006/relationships/hyperlink" Target="http://www.specagent.com/LookUp/?ulid=10009&amp;mf=04&amp;src=wd" TargetMode="External"/><Relationship Id="rId6" Type="http://schemas.openxmlformats.org/officeDocument/2006/relationships/hyperlink" Target="http://www.specagent.com/LookUp/?ulid=5155&amp;mf=04&amp;src=wd" TargetMode="Externa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2022-09-26T03:50:00Z</dcterms:created>
  <dc:creator>Deltek, Inc.</dc:creator>
  <dc:description/>
  <cp:keywords>BAS-12345-MS80</cp:keywords>
  <dc:language>zh-CN</dc:language>
  <cp:lastModifiedBy>Janice Nacional</cp:lastModifiedBy>
  <dcterms:modified xsi:type="dcterms:W3CDTF">2022-09-26T03:50:00Z</dcterms:modified>
  <cp:revision>2</cp:revision>
  <dc:subject>TERMITE CONTROL</dc:subject>
  <dc:title>SECTION 313116 - TERMITE CONTROL</dc:title>
</cp:coreProperties>
</file>