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pacing w:before="240" w:after="0"/>
        <w:rPr>
          <w:szCs w:val="22"/>
        </w:rPr>
      </w:pPr>
      <w:r>
        <w:rPr>
          <w:szCs w:val="22"/>
        </w:rPr>
        <w:t>Copyright 2018 by The American Institute of Architects (AIA)</w:t>
      </w:r>
    </w:p>
    <w:p>
      <w:pPr>
        <w:pStyle w:val="CMT"/>
        <w:rPr/>
      </w:pPr>
      <w:r>
        <w:rPr>
          <w:szCs w:val="22"/>
        </w:rPr>
        <w:t>Exclusively published and distributed by Deltek, Inc. for the AIA</w:t>
      </w:r>
    </w:p>
    <w:p>
      <w:pPr>
        <w:pStyle w:val="SCT"/>
        <w:rPr>
          <w:szCs w:val="22"/>
        </w:rPr>
      </w:pPr>
      <w:r>
        <w:rPr>
          <w:szCs w:val="22"/>
        </w:rPr>
        <w:t xml:space="preserve">SECTION </w:t>
      </w:r>
      <w:r>
        <w:rPr>
          <w:rStyle w:val="NUM"/>
          <w:szCs w:val="22"/>
        </w:rPr>
        <w:t>321713</w:t>
      </w:r>
      <w:r>
        <w:rPr>
          <w:szCs w:val="22"/>
        </w:rPr>
        <w:t xml:space="preserve"> - </w:t>
      </w:r>
      <w:r>
        <w:rPr>
          <w:rStyle w:val="NAM"/>
          <w:szCs w:val="22"/>
        </w:rPr>
        <w:t>PARKING BUMPERS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szCs w:val="22"/>
        </w:rPr>
      </w:pPr>
      <w:r>
        <w:rPr>
          <w:szCs w:val="22"/>
        </w:rPr>
        <w:t>Revise this Section by deleting and inserting text to meet Project-specific requirements.</w:t>
      </w:r>
    </w:p>
    <w:p>
      <w:pPr>
        <w:pStyle w:val="CMT"/>
        <w:rPr>
          <w:szCs w:val="22"/>
        </w:rPr>
      </w:pPr>
      <w:r>
        <w:rPr>
          <w:szCs w:val="22"/>
        </w:rPr>
        <w:t>Verify that Section titles referenced in this Section are correct for this Project's Specifications; Section titles may have changed.</w:t>
      </w:r>
    </w:p>
    <w:p>
      <w:pPr>
        <w:pStyle w:val="PRT"/>
        <w:numPr>
          <w:ilvl w:val="0"/>
          <w:numId w:val="1"/>
        </w:numPr>
        <w:ind w:hanging="0" w:left="0"/>
        <w:rPr>
          <w:szCs w:val="22"/>
        </w:rPr>
      </w:pPr>
      <w:r>
        <w:rPr>
          <w:szCs w:val="22"/>
        </w:rPr>
        <w:t>GENERAL</w:t>
      </w:r>
    </w:p>
    <w:p>
      <w:pPr>
        <w:pStyle w:val="ART"/>
        <w:numPr>
          <w:ilvl w:val="3"/>
          <w:numId w:val="1"/>
        </w:numPr>
        <w:ind w:hanging="0" w:left="0"/>
        <w:rPr>
          <w:szCs w:val="22"/>
        </w:rPr>
      </w:pPr>
      <w:r>
        <w:rPr>
          <w:szCs w:val="22"/>
        </w:rPr>
        <w:t>RELATED DOCUMENTS</w:t>
      </w:r>
    </w:p>
    <w:p>
      <w:pPr>
        <w:pStyle w:val="CMT"/>
        <w:rPr>
          <w:szCs w:val="22"/>
        </w:rPr>
      </w:pPr>
      <w:r>
        <w:rPr>
          <w:szCs w:val="22"/>
        </w:rPr>
        <w:t>Retain or delete this article in all Sections of Project Manual.</w:t>
      </w:r>
    </w:p>
    <w:p>
      <w:pPr>
        <w:pStyle w:val="PR1"/>
        <w:numPr>
          <w:ilvl w:val="4"/>
          <w:numId w:val="1"/>
        </w:numPr>
        <w:rPr>
          <w:szCs w:val="22"/>
        </w:rPr>
      </w:pPr>
      <w:r>
        <w:rPr>
          <w:szCs w:val="22"/>
        </w:rPr>
        <w:t>Drawings and general provisions of the Contract, including General and Supplementary Conditions and Division 01 Specification Sections, apply to this Section.</w:t>
      </w:r>
    </w:p>
    <w:p>
      <w:pPr>
        <w:pStyle w:val="ART"/>
        <w:numPr>
          <w:ilvl w:val="3"/>
          <w:numId w:val="1"/>
        </w:numPr>
        <w:ind w:hanging="0" w:left="0"/>
        <w:rPr>
          <w:szCs w:val="22"/>
        </w:rPr>
      </w:pPr>
      <w:r>
        <w:rPr>
          <w:szCs w:val="22"/>
        </w:rPr>
        <w:t>SUMMARY</w:t>
      </w:r>
    </w:p>
    <w:p>
      <w:pPr>
        <w:pStyle w:val="PR1"/>
        <w:numPr>
          <w:ilvl w:val="4"/>
          <w:numId w:val="1"/>
        </w:numPr>
        <w:rPr>
          <w:szCs w:val="22"/>
        </w:rPr>
      </w:pPr>
      <w:r>
        <w:rPr>
          <w:szCs w:val="22"/>
        </w:rPr>
        <w:t>Section Includes:</w:t>
      </w:r>
    </w:p>
    <w:p>
      <w:pPr>
        <w:pStyle w:val="PR2"/>
        <w:numPr>
          <w:ilvl w:val="5"/>
          <w:numId w:val="1"/>
        </w:numPr>
        <w:spacing w:before="240" w:after="0"/>
        <w:rPr>
          <w:szCs w:val="22"/>
        </w:rPr>
      </w:pPr>
      <w:r>
        <w:rPr>
          <w:szCs w:val="22"/>
        </w:rPr>
        <w:t>Precast concrete wheel stops.</w:t>
      </w:r>
    </w:p>
    <w:p>
      <w:pPr>
        <w:pStyle w:val="PR2"/>
        <w:numPr>
          <w:ilvl w:val="5"/>
          <w:numId w:val="1"/>
        </w:numPr>
        <w:rPr>
          <w:szCs w:val="22"/>
        </w:rPr>
      </w:pPr>
      <w:r>
        <w:rPr>
          <w:szCs w:val="22"/>
        </w:rPr>
        <w:t>Resilient wheel stops.</w:t>
      </w:r>
    </w:p>
    <w:p>
      <w:pPr>
        <w:pStyle w:val="PR2"/>
        <w:numPr>
          <w:ilvl w:val="5"/>
          <w:numId w:val="1"/>
        </w:numPr>
        <w:rPr>
          <w:szCs w:val="22"/>
        </w:rPr>
      </w:pPr>
      <w:r>
        <w:rPr>
          <w:szCs w:val="22"/>
        </w:rPr>
        <w:t>Resilient-shell, concrete-filled wheel stops.</w:t>
      </w:r>
    </w:p>
    <w:p>
      <w:pPr>
        <w:pStyle w:val="ART"/>
        <w:numPr>
          <w:ilvl w:val="3"/>
          <w:numId w:val="1"/>
        </w:numPr>
        <w:ind w:hanging="0" w:left="0"/>
        <w:rPr>
          <w:szCs w:val="22"/>
        </w:rPr>
      </w:pPr>
      <w:r>
        <w:rPr>
          <w:szCs w:val="22"/>
        </w:rPr>
        <w:t>ACTION SUBMITTALS</w:t>
      </w:r>
    </w:p>
    <w:p>
      <w:pPr>
        <w:pStyle w:val="PR1"/>
        <w:numPr>
          <w:ilvl w:val="4"/>
          <w:numId w:val="1"/>
        </w:numPr>
        <w:rPr>
          <w:szCs w:val="22"/>
        </w:rPr>
      </w:pPr>
      <w:r>
        <w:rPr>
          <w:szCs w:val="22"/>
        </w:rPr>
        <w:t>Product Data:</w:t>
      </w:r>
    </w:p>
    <w:p>
      <w:pPr>
        <w:pStyle w:val="PR2"/>
        <w:numPr>
          <w:ilvl w:val="5"/>
          <w:numId w:val="1"/>
        </w:numPr>
        <w:spacing w:before="240" w:after="0"/>
        <w:rPr>
          <w:szCs w:val="22"/>
        </w:rPr>
      </w:pPr>
      <w:r>
        <w:rPr>
          <w:szCs w:val="22"/>
        </w:rPr>
        <w:t>Precast concrete wheel stops.</w:t>
      </w:r>
    </w:p>
    <w:p>
      <w:pPr>
        <w:pStyle w:val="PR2"/>
        <w:numPr>
          <w:ilvl w:val="5"/>
          <w:numId w:val="1"/>
        </w:numPr>
        <w:rPr>
          <w:szCs w:val="22"/>
        </w:rPr>
      </w:pPr>
      <w:r>
        <w:rPr>
          <w:szCs w:val="22"/>
        </w:rPr>
        <w:t>Resilient wheel stops.</w:t>
      </w:r>
    </w:p>
    <w:p>
      <w:pPr>
        <w:pStyle w:val="PR2"/>
        <w:numPr>
          <w:ilvl w:val="5"/>
          <w:numId w:val="1"/>
        </w:numPr>
        <w:rPr>
          <w:szCs w:val="22"/>
        </w:rPr>
      </w:pPr>
      <w:r>
        <w:rPr>
          <w:szCs w:val="22"/>
        </w:rPr>
        <w:t>Resilient-shell, concrete-filled wheel stops</w:t>
      </w:r>
    </w:p>
    <w:p>
      <w:pPr>
        <w:pStyle w:val="PR1"/>
        <w:numPr>
          <w:ilvl w:val="4"/>
          <w:numId w:val="1"/>
        </w:numPr>
        <w:rPr>
          <w:szCs w:val="22"/>
        </w:rPr>
      </w:pPr>
      <w:r>
        <w:rPr>
          <w:szCs w:val="22"/>
        </w:rPr>
        <w:t>Sustainable Design Submittals:</w:t>
      </w:r>
    </w:p>
    <w:p>
      <w:pPr>
        <w:pStyle w:val="PR2"/>
        <w:numPr>
          <w:ilvl w:val="5"/>
          <w:numId w:val="1"/>
        </w:numPr>
        <w:spacing w:before="240" w:after="0"/>
        <w:rPr/>
      </w:pPr>
      <w:hyperlink r:id="rId3">
        <w:r>
          <w:rPr>
            <w:rStyle w:val="Hyperlink"/>
            <w:szCs w:val="22"/>
          </w:rPr>
          <w:t>&lt;Double click to insert sustainable design text for recycled content.&gt;</w:t>
        </w:r>
      </w:hyperlink>
    </w:p>
    <w:p>
      <w:pPr>
        <w:pStyle w:val="CMT"/>
        <w:rPr>
          <w:szCs w:val="22"/>
        </w:rPr>
      </w:pPr>
      <w:r>
        <w:rPr>
          <w:szCs w:val="22"/>
        </w:rPr>
        <w:t>Retain "Samples for Initial Selection" and "Samples for Verification" paragraphs below for two-stage Samples.</w:t>
      </w:r>
    </w:p>
    <w:p>
      <w:pPr>
        <w:pStyle w:val="PR1"/>
        <w:numPr>
          <w:ilvl w:val="4"/>
          <w:numId w:val="1"/>
        </w:numPr>
        <w:rPr>
          <w:szCs w:val="22"/>
        </w:rPr>
      </w:pPr>
      <w:r>
        <w:rPr>
          <w:szCs w:val="22"/>
        </w:rPr>
        <w:t>Samples for Initial Selection: For each type of exposed finish requiring color selection.</w:t>
      </w:r>
    </w:p>
    <w:p>
      <w:pPr>
        <w:pStyle w:val="PR1"/>
        <w:numPr>
          <w:ilvl w:val="4"/>
          <w:numId w:val="1"/>
        </w:numPr>
        <w:rPr>
          <w:szCs w:val="22"/>
        </w:rPr>
      </w:pPr>
      <w:r>
        <w:rPr>
          <w:szCs w:val="22"/>
        </w:rPr>
        <w:t>Samples for Verification: For wheel stops, [</w:t>
      </w:r>
      <w:r>
        <w:rPr>
          <w:rStyle w:val="IP"/>
          <w:b/>
          <w:szCs w:val="22"/>
        </w:rPr>
        <w:t>6 inches</w:t>
      </w:r>
      <w:r>
        <w:rPr>
          <w:rStyle w:val="SI"/>
          <w:b/>
          <w:szCs w:val="22"/>
        </w:rPr>
        <w:t xml:space="preserve"> (150 mm)</w:t>
      </w:r>
      <w:r>
        <w:rPr>
          <w:b/>
          <w:szCs w:val="22"/>
        </w:rPr>
        <w:t xml:space="preserve"> long</w:t>
      </w:r>
      <w:r>
        <w:rPr>
          <w:szCs w:val="22"/>
        </w:rPr>
        <w:t>] &lt;</w:t>
      </w:r>
      <w:r>
        <w:rPr>
          <w:b/>
          <w:szCs w:val="22"/>
        </w:rPr>
        <w:t>Insert dimension</w:t>
      </w:r>
      <w:r>
        <w:rPr>
          <w:szCs w:val="22"/>
        </w:rPr>
        <w:t>&gt;, showing color and cross section; with mounting hardware.</w:t>
      </w:r>
    </w:p>
    <w:p>
      <w:pPr>
        <w:pStyle w:val="PRT"/>
        <w:numPr>
          <w:ilvl w:val="0"/>
          <w:numId w:val="1"/>
        </w:numPr>
        <w:ind w:hanging="0" w:left="0"/>
        <w:rPr>
          <w:szCs w:val="22"/>
        </w:rPr>
      </w:pPr>
      <w:r>
        <w:rPr>
          <w:szCs w:val="22"/>
        </w:rPr>
        <w:t>PRODUCTS</w:t>
      </w:r>
    </w:p>
    <w:p>
      <w:pPr>
        <w:pStyle w:val="CMT"/>
        <w:rPr/>
      </w:pPr>
      <w:r>
        <w:rPr>
          <w:szCs w:val="22"/>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szCs w:val="22"/>
        </w:rPr>
      </w:pPr>
      <w:r>
        <w:rPr>
          <w:szCs w:val="22"/>
        </w:rPr>
        <w:t>PARKING BUMPERS</w:t>
      </w:r>
    </w:p>
    <w:p>
      <w:pPr>
        <w:pStyle w:val="CMT"/>
        <w:rPr>
          <w:szCs w:val="22"/>
        </w:rPr>
      </w:pPr>
      <w:r>
        <w:rPr>
          <w:szCs w:val="22"/>
        </w:rPr>
        <w:t>Retain "Precast Concrete Wheel Stops," "Resilient Wheel Stops," or "Resilient-Shell, Concrete-Filled Wheel Stops" Paragraph below if wheel stops are required. Insert paragraphs for other parking bumper types if required.</w:t>
      </w:r>
    </w:p>
    <w:p>
      <w:pPr>
        <w:pStyle w:val="PR1"/>
        <w:numPr>
          <w:ilvl w:val="4"/>
          <w:numId w:val="1"/>
        </w:numPr>
        <w:rPr>
          <w:szCs w:val="22"/>
        </w:rPr>
      </w:pPr>
      <w:r>
        <w:rPr>
          <w:szCs w:val="22"/>
        </w:rPr>
        <w:t>Precast Concrete Wheel Stops: Precast, steel-reinforced, air-entrained concrete; [</w:t>
      </w:r>
      <w:r>
        <w:rPr>
          <w:rStyle w:val="IP"/>
          <w:b/>
          <w:szCs w:val="22"/>
        </w:rPr>
        <w:t>4000-psi</w:t>
      </w:r>
      <w:r>
        <w:rPr>
          <w:rStyle w:val="SI"/>
          <w:b/>
          <w:szCs w:val="22"/>
        </w:rPr>
        <w:t xml:space="preserve"> (27.6-MPa)</w:t>
      </w:r>
      <w:r>
        <w:rPr>
          <w:szCs w:val="22"/>
        </w:rPr>
        <w:t>] &lt;</w:t>
      </w:r>
      <w:r>
        <w:rPr>
          <w:b/>
          <w:szCs w:val="22"/>
        </w:rPr>
        <w:t>Insert value</w:t>
      </w:r>
      <w:r>
        <w:rPr>
          <w:szCs w:val="22"/>
        </w:rPr>
        <w:t>&gt; minimum compressive strength; [</w:t>
      </w:r>
      <w:r>
        <w:rPr>
          <w:b/>
          <w:szCs w:val="22"/>
        </w:rPr>
        <w:t>manufacturer's standard height and width</w:t>
      </w:r>
      <w:r>
        <w:rPr>
          <w:szCs w:val="22"/>
        </w:rPr>
        <w:t>] [</w:t>
      </w:r>
      <w:r>
        <w:rPr>
          <w:rStyle w:val="IP"/>
          <w:b/>
          <w:szCs w:val="22"/>
        </w:rPr>
        <w:t>4-1/2 inches</w:t>
      </w:r>
      <w:r>
        <w:rPr>
          <w:rStyle w:val="SI"/>
          <w:b/>
          <w:szCs w:val="22"/>
        </w:rPr>
        <w:t xml:space="preserve"> (115 mm)</w:t>
      </w:r>
      <w:r>
        <w:rPr>
          <w:b/>
          <w:szCs w:val="22"/>
        </w:rPr>
        <w:t xml:space="preserve"> high by </w:t>
      </w:r>
      <w:r>
        <w:rPr>
          <w:rStyle w:val="IP"/>
          <w:b/>
          <w:szCs w:val="22"/>
        </w:rPr>
        <w:t>9 inches</w:t>
      </w:r>
      <w:r>
        <w:rPr>
          <w:rStyle w:val="SI"/>
          <w:b/>
          <w:szCs w:val="22"/>
        </w:rPr>
        <w:t xml:space="preserve"> (225 mm)</w:t>
      </w:r>
      <w:r>
        <w:rPr>
          <w:b/>
          <w:szCs w:val="22"/>
        </w:rPr>
        <w:t xml:space="preserve"> wide</w:t>
      </w:r>
      <w:r>
        <w:rPr>
          <w:szCs w:val="22"/>
        </w:rPr>
        <w:t>] &lt;</w:t>
      </w:r>
      <w:r>
        <w:rPr>
          <w:b/>
          <w:szCs w:val="22"/>
        </w:rPr>
        <w:t>Insert dimensions</w:t>
      </w:r>
      <w:r>
        <w:rPr>
          <w:szCs w:val="22"/>
        </w:rPr>
        <w:t>&gt; by [</w:t>
      </w:r>
      <w:r>
        <w:rPr>
          <w:rStyle w:val="IP"/>
          <w:b/>
          <w:szCs w:val="22"/>
        </w:rPr>
        <w:t>72 inches</w:t>
      </w:r>
      <w:r>
        <w:rPr>
          <w:rStyle w:val="SI"/>
          <w:b/>
          <w:szCs w:val="22"/>
        </w:rPr>
        <w:t xml:space="preserve"> (1800 mm)</w:t>
      </w:r>
      <w:r>
        <w:rPr>
          <w:szCs w:val="22"/>
        </w:rPr>
        <w:t>] &lt;</w:t>
      </w:r>
      <w:r>
        <w:rPr>
          <w:b/>
          <w:szCs w:val="22"/>
        </w:rPr>
        <w:t>Insert dimension</w:t>
      </w:r>
      <w:r>
        <w:rPr>
          <w:szCs w:val="22"/>
        </w:rPr>
        <w:t>&gt; long. Provide chamfered corners[</w:t>
      </w:r>
      <w:r>
        <w:rPr>
          <w:b/>
          <w:szCs w:val="22"/>
        </w:rPr>
        <w:t>, transverse drainage slots on underside,</w:t>
      </w:r>
      <w:r>
        <w:rPr>
          <w:szCs w:val="22"/>
        </w:rPr>
        <w:t>] and a minimum of [</w:t>
      </w:r>
      <w:r>
        <w:rPr>
          <w:b/>
          <w:szCs w:val="22"/>
        </w:rPr>
        <w:t>two</w:t>
      </w:r>
      <w:r>
        <w:rPr>
          <w:szCs w:val="22"/>
        </w:rPr>
        <w:t>] [</w:t>
      </w:r>
      <w:r>
        <w:rPr>
          <w:b/>
          <w:szCs w:val="22"/>
        </w:rPr>
        <w:t>three</w:t>
      </w:r>
      <w:r>
        <w:rPr>
          <w:szCs w:val="22"/>
        </w:rPr>
        <w:t>] factory-formed or -drilled vertical holes through wheel stop for anchoring to substrate.</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2"/>
        <w:numPr>
          <w:ilvl w:val="5"/>
          <w:numId w:val="1"/>
        </w:numPr>
        <w:rPr/>
      </w:pPr>
      <w:r>
        <w:rPr/>
        <w:t>Source Limitations: Obtain wheel stops from single source from single manufacturer.</w:t>
      </w:r>
    </w:p>
    <w:p>
      <w:pPr>
        <w:pStyle w:val="PR2"/>
        <w:numPr>
          <w:ilvl w:val="5"/>
          <w:numId w:val="1"/>
        </w:numPr>
        <w:rPr>
          <w:szCs w:val="22"/>
        </w:rPr>
      </w:pPr>
      <w:r>
        <w:rPr>
          <w:szCs w:val="22"/>
        </w:rPr>
        <w:t>Surface Appearance: Smooth, free of pockets, sand streaks, honeycombs, and other obvious defects. Corners shall be uniform, straight, and sharp.</w:t>
      </w:r>
    </w:p>
    <w:p>
      <w:pPr>
        <w:pStyle w:val="CMT"/>
        <w:rPr>
          <w:szCs w:val="22"/>
        </w:rPr>
      </w:pPr>
      <w:r>
        <w:rPr>
          <w:szCs w:val="22"/>
        </w:rPr>
        <w:t>Retain "Surface Sealer" Subparagraph below to increase exterior durability of wheel stops where road salts are used. Verify sealer type and availability with manufacturer.</w:t>
      </w:r>
    </w:p>
    <w:p>
      <w:pPr>
        <w:pStyle w:val="PR2"/>
        <w:numPr>
          <w:ilvl w:val="5"/>
          <w:numId w:val="1"/>
        </w:numPr>
        <w:rPr>
          <w:szCs w:val="22"/>
        </w:rPr>
      </w:pPr>
      <w:r>
        <w:rPr>
          <w:szCs w:val="22"/>
        </w:rPr>
        <w:t>Surface Sealer: [</w:t>
      </w:r>
      <w:r>
        <w:rPr>
          <w:b/>
          <w:szCs w:val="22"/>
        </w:rPr>
        <w:t>Manufacturer's standard salt-resistant, clear sealer</w:t>
      </w:r>
      <w:r>
        <w:rPr>
          <w:szCs w:val="22"/>
        </w:rPr>
        <w:t>] &lt;</w:t>
      </w:r>
      <w:r>
        <w:rPr>
          <w:b/>
          <w:szCs w:val="22"/>
        </w:rPr>
        <w:t>Insert requirement</w:t>
      </w:r>
      <w:r>
        <w:rPr>
          <w:szCs w:val="22"/>
        </w:rPr>
        <w:t>&gt;, applied at precasting location.</w:t>
      </w:r>
    </w:p>
    <w:p>
      <w:pPr>
        <w:pStyle w:val="CMT"/>
        <w:rPr>
          <w:szCs w:val="22"/>
        </w:rPr>
      </w:pPr>
      <w:r>
        <w:rPr>
          <w:szCs w:val="22"/>
        </w:rPr>
        <w:t>In "Mounting Hardware" Subparagraph below, first option is generally used for asphalt surfaces and second is generally used for concrete surfaces. Consult manufacturer.</w:t>
      </w:r>
    </w:p>
    <w:p>
      <w:pPr>
        <w:pStyle w:val="PR2"/>
        <w:numPr>
          <w:ilvl w:val="5"/>
          <w:numId w:val="1"/>
        </w:numPr>
        <w:rPr>
          <w:szCs w:val="22"/>
        </w:rPr>
      </w:pPr>
      <w:r>
        <w:rPr>
          <w:szCs w:val="22"/>
        </w:rPr>
        <w:t>Mounting Hardware: Galvanized-steel [</w:t>
      </w:r>
      <w:r>
        <w:rPr>
          <w:b/>
          <w:szCs w:val="22"/>
        </w:rPr>
        <w:t xml:space="preserve">spike or dowel, </w:t>
      </w:r>
      <w:r>
        <w:rPr>
          <w:rStyle w:val="IP"/>
          <w:b/>
          <w:szCs w:val="22"/>
        </w:rPr>
        <w:t>1/2-inch</w:t>
      </w:r>
      <w:r>
        <w:rPr>
          <w:rStyle w:val="SI"/>
          <w:b/>
          <w:szCs w:val="22"/>
        </w:rPr>
        <w:t xml:space="preserve"> (13-mm)</w:t>
      </w:r>
      <w:r>
        <w:rPr>
          <w:b/>
          <w:szCs w:val="22"/>
        </w:rPr>
        <w:t xml:space="preserve"> diameter, </w:t>
      </w:r>
      <w:r>
        <w:rPr>
          <w:rStyle w:val="IP"/>
          <w:b/>
          <w:szCs w:val="22"/>
        </w:rPr>
        <w:t>14-inch</w:t>
      </w:r>
      <w:r>
        <w:rPr>
          <w:rStyle w:val="SI"/>
          <w:b/>
          <w:szCs w:val="22"/>
        </w:rPr>
        <w:t xml:space="preserve"> (350-mm)</w:t>
      </w:r>
      <w:r>
        <w:rPr>
          <w:b/>
          <w:szCs w:val="22"/>
        </w:rPr>
        <w:t xml:space="preserve"> minimum length</w:t>
      </w:r>
      <w:r>
        <w:rPr>
          <w:szCs w:val="22"/>
        </w:rPr>
        <w:t>] [</w:t>
      </w:r>
      <w:r>
        <w:rPr>
          <w:b/>
          <w:szCs w:val="22"/>
        </w:rPr>
        <w:t xml:space="preserve">lag screw, shield, and washers; </w:t>
      </w:r>
      <w:r>
        <w:rPr>
          <w:rStyle w:val="IP"/>
          <w:b/>
          <w:szCs w:val="22"/>
        </w:rPr>
        <w:t>1/2-inch</w:t>
      </w:r>
      <w:r>
        <w:rPr>
          <w:rStyle w:val="SI"/>
          <w:b/>
          <w:szCs w:val="22"/>
        </w:rPr>
        <w:t xml:space="preserve"> (13-mm)</w:t>
      </w:r>
      <w:r>
        <w:rPr>
          <w:b/>
          <w:szCs w:val="22"/>
        </w:rPr>
        <w:t xml:space="preserve"> diameter, </w:t>
      </w:r>
      <w:r>
        <w:rPr>
          <w:rStyle w:val="IP"/>
          <w:b/>
          <w:szCs w:val="22"/>
        </w:rPr>
        <w:t>8-inch</w:t>
      </w:r>
      <w:r>
        <w:rPr>
          <w:rStyle w:val="SI"/>
          <w:b/>
          <w:szCs w:val="22"/>
        </w:rPr>
        <w:t xml:space="preserve"> (203-mm)</w:t>
      </w:r>
      <w:r>
        <w:rPr>
          <w:b/>
          <w:szCs w:val="22"/>
        </w:rPr>
        <w:t xml:space="preserve"> minimum length</w:t>
      </w:r>
      <w:r>
        <w:rPr>
          <w:szCs w:val="22"/>
        </w:rPr>
        <w:t>] [</w:t>
      </w:r>
      <w:r>
        <w:rPr>
          <w:b/>
          <w:szCs w:val="22"/>
        </w:rPr>
        <w:t>hardware as standard with wheel-stop manufacturer</w:t>
      </w:r>
      <w:r>
        <w:rPr>
          <w:szCs w:val="22"/>
        </w:rPr>
        <w:t>].</w:t>
      </w:r>
    </w:p>
    <w:p>
      <w:pPr>
        <w:pStyle w:val="CMT"/>
        <w:rPr>
          <w:szCs w:val="22"/>
        </w:rPr>
      </w:pPr>
      <w:r>
        <w:rPr>
          <w:szCs w:val="22"/>
        </w:rPr>
        <w:t>Revise "Resilient Wheel Stops" Paragraph below to suit Project. Available products vary with manufacturer.</w:t>
      </w:r>
    </w:p>
    <w:p>
      <w:pPr>
        <w:pStyle w:val="PR1"/>
        <w:numPr>
          <w:ilvl w:val="4"/>
          <w:numId w:val="1"/>
        </w:numPr>
        <w:rPr>
          <w:szCs w:val="22"/>
        </w:rPr>
      </w:pPr>
      <w:r>
        <w:rPr>
          <w:szCs w:val="22"/>
        </w:rPr>
        <w:t>Resilient Wheel Stops: Solid, integrally colored [</w:t>
      </w:r>
      <w:r>
        <w:rPr>
          <w:b/>
          <w:szCs w:val="22"/>
        </w:rPr>
        <w:t>rubber</w:t>
      </w:r>
      <w:r>
        <w:rPr>
          <w:szCs w:val="22"/>
        </w:rPr>
        <w:t>] [</w:t>
      </w:r>
      <w:r>
        <w:rPr>
          <w:b/>
          <w:szCs w:val="22"/>
        </w:rPr>
        <w:t>or</w:t>
      </w:r>
      <w:r>
        <w:rPr>
          <w:szCs w:val="22"/>
        </w:rPr>
        <w:t>] [</w:t>
      </w:r>
      <w:r>
        <w:rPr>
          <w:b/>
          <w:szCs w:val="22"/>
        </w:rPr>
        <w:t>plastic</w:t>
      </w:r>
      <w:r>
        <w:rPr>
          <w:szCs w:val="22"/>
        </w:rPr>
        <w:t>]; UV stabilized; [</w:t>
      </w:r>
      <w:r>
        <w:rPr>
          <w:b/>
          <w:szCs w:val="22"/>
        </w:rPr>
        <w:t>manufacturer's standard height and width</w:t>
      </w:r>
      <w:r>
        <w:rPr>
          <w:szCs w:val="22"/>
        </w:rPr>
        <w:t>] [</w:t>
      </w:r>
      <w:r>
        <w:rPr>
          <w:rStyle w:val="IP"/>
          <w:b/>
          <w:szCs w:val="22"/>
        </w:rPr>
        <w:t>4 inches</w:t>
      </w:r>
      <w:r>
        <w:rPr>
          <w:rStyle w:val="SI"/>
          <w:b/>
          <w:szCs w:val="22"/>
        </w:rPr>
        <w:t xml:space="preserve"> (100 mm)</w:t>
      </w:r>
      <w:r>
        <w:rPr>
          <w:b/>
          <w:szCs w:val="22"/>
        </w:rPr>
        <w:t xml:space="preserve"> high by </w:t>
      </w:r>
      <w:r>
        <w:rPr>
          <w:rStyle w:val="IP"/>
          <w:b/>
          <w:szCs w:val="22"/>
        </w:rPr>
        <w:t>6 inches</w:t>
      </w:r>
      <w:r>
        <w:rPr>
          <w:rStyle w:val="SI"/>
          <w:b/>
          <w:szCs w:val="22"/>
        </w:rPr>
        <w:t xml:space="preserve"> (150 mm)</w:t>
      </w:r>
      <w:r>
        <w:rPr>
          <w:b/>
          <w:szCs w:val="22"/>
        </w:rPr>
        <w:t xml:space="preserve"> wide</w:t>
      </w:r>
      <w:r>
        <w:rPr>
          <w:szCs w:val="22"/>
        </w:rPr>
        <w:t>] &lt;</w:t>
      </w:r>
      <w:r>
        <w:rPr>
          <w:b/>
          <w:szCs w:val="22"/>
        </w:rPr>
        <w:t>Insert dimensions</w:t>
      </w:r>
      <w:r>
        <w:rPr>
          <w:szCs w:val="22"/>
        </w:rPr>
        <w:t>&gt; by [</w:t>
      </w:r>
      <w:r>
        <w:rPr>
          <w:rStyle w:val="IP"/>
          <w:b/>
          <w:szCs w:val="22"/>
        </w:rPr>
        <w:t>72 inches</w:t>
      </w:r>
      <w:r>
        <w:rPr>
          <w:rStyle w:val="SI"/>
          <w:b/>
          <w:szCs w:val="22"/>
        </w:rPr>
        <w:t xml:space="preserve"> (1800 mm)</w:t>
      </w:r>
      <w:r>
        <w:rPr>
          <w:szCs w:val="22"/>
        </w:rPr>
        <w:t>] &lt;</w:t>
      </w:r>
      <w:r>
        <w:rPr>
          <w:b/>
          <w:szCs w:val="22"/>
        </w:rPr>
        <w:t>Insert dimension</w:t>
      </w:r>
      <w:r>
        <w:rPr>
          <w:szCs w:val="22"/>
        </w:rPr>
        <w:t>&gt; long. Provide chamfered corners and a minimum of [</w:t>
      </w:r>
      <w:r>
        <w:rPr>
          <w:b/>
          <w:szCs w:val="22"/>
        </w:rPr>
        <w:t>two</w:t>
      </w:r>
      <w:r>
        <w:rPr>
          <w:szCs w:val="22"/>
        </w:rPr>
        <w:t>] [</w:t>
      </w:r>
      <w:r>
        <w:rPr>
          <w:b/>
          <w:szCs w:val="22"/>
        </w:rPr>
        <w:t>three</w:t>
      </w:r>
      <w:r>
        <w:rPr>
          <w:szCs w:val="22"/>
        </w:rPr>
        <w:t>] [</w:t>
      </w:r>
      <w:r>
        <w:rPr>
          <w:b/>
          <w:szCs w:val="22"/>
        </w:rPr>
        <w:t>four</w:t>
      </w:r>
      <w:r>
        <w:rPr>
          <w:szCs w:val="22"/>
        </w:rPr>
        <w:t>] factory-formed or -drilled vertical holes through wheel stop for anchoring to substrate.</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2"/>
        <w:numPr>
          <w:ilvl w:val="5"/>
          <w:numId w:val="1"/>
        </w:numPr>
        <w:rPr/>
      </w:pPr>
      <w:r>
        <w:rPr/>
        <w:t>Source Limitations: Obtain wheel stops from single source from single manufacturer.</w:t>
      </w:r>
    </w:p>
    <w:p>
      <w:pPr>
        <w:pStyle w:val="PR2"/>
        <w:numPr>
          <w:ilvl w:val="5"/>
          <w:numId w:val="1"/>
        </w:numPr>
        <w:rPr/>
      </w:pPr>
      <w:hyperlink r:id="rId6">
        <w:r>
          <w:rPr>
            <w:rStyle w:val="Hyperlink"/>
            <w:szCs w:val="22"/>
          </w:rPr>
          <w:t>&lt;Double click to insert sustainable design text for recycled content for parking bumpers.&gt;</w:t>
        </w:r>
      </w:hyperlink>
    </w:p>
    <w:p>
      <w:pPr>
        <w:pStyle w:val="CMT"/>
        <w:rPr>
          <w:szCs w:val="22"/>
        </w:rPr>
      </w:pPr>
      <w:r>
        <w:rPr>
          <w:szCs w:val="22"/>
        </w:rPr>
        <w:t>Retain required option in "Color" Subparagraph below; verify color availability with manufacturers. If retaining more than one, indicate locations of each on Drawings or by inserts.</w:t>
      </w:r>
    </w:p>
    <w:p>
      <w:pPr>
        <w:pStyle w:val="PR2"/>
        <w:numPr>
          <w:ilvl w:val="5"/>
          <w:numId w:val="1"/>
        </w:numPr>
        <w:rPr>
          <w:szCs w:val="22"/>
        </w:rPr>
      </w:pPr>
      <w:r>
        <w:rPr>
          <w:szCs w:val="22"/>
        </w:rPr>
        <w:t>Color: [</w:t>
      </w:r>
      <w:r>
        <w:rPr>
          <w:b/>
          <w:szCs w:val="22"/>
        </w:rPr>
        <w:t>Black</w:t>
      </w:r>
      <w:r>
        <w:rPr>
          <w:szCs w:val="22"/>
        </w:rPr>
        <w:t>] [</w:t>
      </w:r>
      <w:r>
        <w:rPr>
          <w:b/>
          <w:szCs w:val="22"/>
        </w:rPr>
        <w:t>Yellow</w:t>
      </w:r>
      <w:r>
        <w:rPr>
          <w:szCs w:val="22"/>
        </w:rPr>
        <w:t>] [</w:t>
      </w:r>
      <w:r>
        <w:rPr>
          <w:b/>
          <w:szCs w:val="22"/>
        </w:rPr>
        <w:t>Gray</w:t>
      </w:r>
      <w:r>
        <w:rPr>
          <w:szCs w:val="22"/>
        </w:rPr>
        <w:t>] [</w:t>
      </w:r>
      <w:r>
        <w:rPr>
          <w:b/>
          <w:szCs w:val="22"/>
        </w:rPr>
        <w:t>Green</w:t>
      </w:r>
      <w:r>
        <w:rPr>
          <w:szCs w:val="22"/>
        </w:rPr>
        <w:t>] [</w:t>
      </w:r>
      <w:r>
        <w:rPr>
          <w:b/>
          <w:szCs w:val="22"/>
        </w:rPr>
        <w:t>Blue</w:t>
      </w:r>
      <w:r>
        <w:rPr>
          <w:szCs w:val="22"/>
        </w:rPr>
        <w:t>] &lt;</w:t>
      </w:r>
      <w:r>
        <w:rPr>
          <w:b/>
          <w:szCs w:val="22"/>
        </w:rPr>
        <w:t>Insert color</w:t>
      </w:r>
      <w:r>
        <w:rPr>
          <w:szCs w:val="22"/>
        </w:rPr>
        <w:t>&gt;.</w:t>
      </w:r>
    </w:p>
    <w:p>
      <w:pPr>
        <w:pStyle w:val="CMT"/>
        <w:rPr>
          <w:szCs w:val="22"/>
        </w:rPr>
      </w:pPr>
      <w:r>
        <w:rPr>
          <w:szCs w:val="22"/>
        </w:rPr>
        <w:t>Retain "Embedded Markings" Subparagraph below if required; revise to suit Project. Availability, shape, and style of markings vary with manufacturer; insert shape or style requirement if required.</w:t>
      </w:r>
    </w:p>
    <w:p>
      <w:pPr>
        <w:pStyle w:val="PR2"/>
        <w:numPr>
          <w:ilvl w:val="5"/>
          <w:numId w:val="1"/>
        </w:numPr>
        <w:rPr>
          <w:szCs w:val="22"/>
        </w:rPr>
      </w:pPr>
      <w:r>
        <w:rPr>
          <w:szCs w:val="22"/>
        </w:rPr>
        <w:t>Embedded Markings: Molded-in, [</w:t>
      </w:r>
      <w:r>
        <w:rPr>
          <w:b/>
          <w:szCs w:val="22"/>
        </w:rPr>
        <w:t>blue</w:t>
      </w:r>
      <w:r>
        <w:rPr>
          <w:szCs w:val="22"/>
        </w:rPr>
        <w:t>] [</w:t>
      </w:r>
      <w:r>
        <w:rPr>
          <w:b/>
          <w:szCs w:val="22"/>
        </w:rPr>
        <w:t>white</w:t>
      </w:r>
      <w:r>
        <w:rPr>
          <w:szCs w:val="22"/>
        </w:rPr>
        <w:t>] [</w:t>
      </w:r>
      <w:r>
        <w:rPr>
          <w:b/>
          <w:szCs w:val="22"/>
        </w:rPr>
        <w:t>yellow</w:t>
      </w:r>
      <w:r>
        <w:rPr>
          <w:szCs w:val="22"/>
        </w:rPr>
        <w:t>] reflective markings, permanently inset in exposed surface.</w:t>
      </w:r>
    </w:p>
    <w:p>
      <w:pPr>
        <w:pStyle w:val="CMT"/>
        <w:rPr>
          <w:szCs w:val="22"/>
        </w:rPr>
      </w:pPr>
      <w:r>
        <w:rPr>
          <w:szCs w:val="22"/>
        </w:rPr>
        <w:t>In "Mounting Hardware" Subparagraph below, first option is generally used for asphalt surfaces and second is generally used for concrete. Consult manufacturer.</w:t>
      </w:r>
    </w:p>
    <w:p>
      <w:pPr>
        <w:pStyle w:val="PR2"/>
        <w:numPr>
          <w:ilvl w:val="5"/>
          <w:numId w:val="1"/>
        </w:numPr>
        <w:rPr>
          <w:szCs w:val="22"/>
        </w:rPr>
      </w:pPr>
      <w:r>
        <w:rPr>
          <w:szCs w:val="22"/>
        </w:rPr>
        <w:t>Mounting Hardware: Galvanized-steel [</w:t>
      </w:r>
      <w:r>
        <w:rPr>
          <w:b/>
          <w:szCs w:val="22"/>
        </w:rPr>
        <w:t xml:space="preserve">spike or dowel, </w:t>
      </w:r>
      <w:r>
        <w:rPr>
          <w:rStyle w:val="IP"/>
          <w:b/>
          <w:szCs w:val="22"/>
        </w:rPr>
        <w:t>1/2-inch</w:t>
      </w:r>
      <w:r>
        <w:rPr>
          <w:rStyle w:val="SI"/>
          <w:b/>
          <w:szCs w:val="22"/>
        </w:rPr>
        <w:t xml:space="preserve"> (13-mm)</w:t>
      </w:r>
      <w:r>
        <w:rPr>
          <w:b/>
          <w:szCs w:val="22"/>
        </w:rPr>
        <w:t xml:space="preserve"> minimum diameter, </w:t>
      </w:r>
      <w:r>
        <w:rPr>
          <w:rStyle w:val="IP"/>
          <w:b/>
          <w:szCs w:val="22"/>
        </w:rPr>
        <w:t>14-inch</w:t>
      </w:r>
      <w:r>
        <w:rPr>
          <w:rStyle w:val="SI"/>
          <w:b/>
          <w:szCs w:val="22"/>
        </w:rPr>
        <w:t xml:space="preserve"> (350-mm)</w:t>
      </w:r>
      <w:r>
        <w:rPr>
          <w:b/>
          <w:szCs w:val="22"/>
        </w:rPr>
        <w:t xml:space="preserve"> minimum length</w:t>
      </w:r>
      <w:r>
        <w:rPr>
          <w:szCs w:val="22"/>
        </w:rPr>
        <w:t>] [</w:t>
      </w:r>
      <w:r>
        <w:rPr>
          <w:b/>
          <w:szCs w:val="22"/>
        </w:rPr>
        <w:t xml:space="preserve">lag screw, shield, and washers; </w:t>
      </w:r>
      <w:r>
        <w:rPr>
          <w:rStyle w:val="IP"/>
          <w:b/>
          <w:szCs w:val="22"/>
        </w:rPr>
        <w:t>1/2-inch</w:t>
      </w:r>
      <w:r>
        <w:rPr>
          <w:rStyle w:val="SI"/>
          <w:b/>
          <w:szCs w:val="22"/>
        </w:rPr>
        <w:t xml:space="preserve"> (13-mm)</w:t>
      </w:r>
      <w:r>
        <w:rPr>
          <w:b/>
          <w:szCs w:val="22"/>
        </w:rPr>
        <w:t xml:space="preserve"> diameter, </w:t>
      </w:r>
      <w:r>
        <w:rPr>
          <w:rStyle w:val="IP"/>
          <w:b/>
          <w:szCs w:val="22"/>
        </w:rPr>
        <w:t>8-inch</w:t>
      </w:r>
      <w:r>
        <w:rPr>
          <w:rStyle w:val="SI"/>
          <w:b/>
          <w:szCs w:val="22"/>
        </w:rPr>
        <w:t xml:space="preserve"> (203-mm)</w:t>
      </w:r>
      <w:r>
        <w:rPr>
          <w:b/>
          <w:szCs w:val="22"/>
        </w:rPr>
        <w:t xml:space="preserve"> minimum length</w:t>
      </w:r>
      <w:r>
        <w:rPr>
          <w:szCs w:val="22"/>
        </w:rPr>
        <w:t>] [</w:t>
      </w:r>
      <w:r>
        <w:rPr>
          <w:b/>
          <w:szCs w:val="22"/>
        </w:rPr>
        <w:t>hardware as standard with wheel-stop manufacturer</w:t>
      </w:r>
      <w:r>
        <w:rPr>
          <w:szCs w:val="22"/>
        </w:rPr>
        <w:t>].</w:t>
      </w:r>
    </w:p>
    <w:p>
      <w:pPr>
        <w:pStyle w:val="CMT"/>
        <w:rPr>
          <w:szCs w:val="22"/>
        </w:rPr>
      </w:pPr>
      <w:r>
        <w:rPr>
          <w:szCs w:val="22"/>
        </w:rPr>
        <w:t>Retain "Adhesive" Subparagraph below where permanently installed wheel stops are required or if mechanical attachment is considered insufficient.</w:t>
      </w:r>
    </w:p>
    <w:p>
      <w:pPr>
        <w:pStyle w:val="PR2"/>
        <w:numPr>
          <w:ilvl w:val="5"/>
          <w:numId w:val="1"/>
        </w:numPr>
        <w:rPr>
          <w:szCs w:val="22"/>
        </w:rPr>
      </w:pPr>
      <w:r>
        <w:rPr>
          <w:szCs w:val="22"/>
        </w:rPr>
        <w:t>Adhesive: Polyurethane or epoxy, as recommended in writing by wheel-stop manufacturer for adhesion to substrate.</w:t>
      </w:r>
    </w:p>
    <w:p>
      <w:pPr>
        <w:pStyle w:val="CMT"/>
        <w:rPr>
          <w:szCs w:val="22"/>
        </w:rPr>
      </w:pPr>
      <w:r>
        <w:rPr>
          <w:szCs w:val="22"/>
        </w:rPr>
        <w:t>Revise "Resilient-Shell, Concrete-Filled Wheel Stops" Paragraph below to suit Project.</w:t>
      </w:r>
    </w:p>
    <w:p>
      <w:pPr>
        <w:pStyle w:val="PR1"/>
        <w:numPr>
          <w:ilvl w:val="4"/>
          <w:numId w:val="1"/>
        </w:numPr>
        <w:rPr>
          <w:szCs w:val="22"/>
        </w:rPr>
      </w:pPr>
      <w:r>
        <w:rPr>
          <w:szCs w:val="22"/>
        </w:rPr>
        <w:t>Resilient-Shell, Concrete-Filled Wheel Stops: Integrally colored HDPE polymer; UV-stabilized resilient shell; filled with precast, steel-reinforced concrete; [</w:t>
      </w:r>
      <w:r>
        <w:rPr>
          <w:rStyle w:val="IP"/>
          <w:b/>
          <w:szCs w:val="22"/>
        </w:rPr>
        <w:t>4000-psi</w:t>
      </w:r>
      <w:r>
        <w:rPr>
          <w:rStyle w:val="SI"/>
          <w:b/>
          <w:szCs w:val="22"/>
        </w:rPr>
        <w:t xml:space="preserve"> (27.6-MPa)</w:t>
      </w:r>
      <w:r>
        <w:rPr>
          <w:szCs w:val="22"/>
        </w:rPr>
        <w:t>] &lt;</w:t>
      </w:r>
      <w:r>
        <w:rPr>
          <w:b/>
          <w:szCs w:val="22"/>
        </w:rPr>
        <w:t>Insert value</w:t>
      </w:r>
      <w:r>
        <w:rPr>
          <w:szCs w:val="22"/>
        </w:rPr>
        <w:t>&gt; minimum compressive strength; [</w:t>
      </w:r>
      <w:r>
        <w:rPr>
          <w:b/>
          <w:szCs w:val="22"/>
        </w:rPr>
        <w:t>manufacturer's standard height and width</w:t>
      </w:r>
      <w:r>
        <w:rPr>
          <w:szCs w:val="22"/>
        </w:rPr>
        <w:t>] [</w:t>
      </w:r>
      <w:r>
        <w:rPr>
          <w:rStyle w:val="IP"/>
          <w:b/>
          <w:szCs w:val="22"/>
        </w:rPr>
        <w:t>5 inches</w:t>
      </w:r>
      <w:r>
        <w:rPr>
          <w:rStyle w:val="SI"/>
          <w:b/>
          <w:szCs w:val="22"/>
        </w:rPr>
        <w:t xml:space="preserve"> (125 mm)</w:t>
      </w:r>
      <w:r>
        <w:rPr>
          <w:b/>
          <w:szCs w:val="22"/>
        </w:rPr>
        <w:t xml:space="preserve"> high by </w:t>
      </w:r>
      <w:r>
        <w:rPr>
          <w:rStyle w:val="IP"/>
          <w:b/>
          <w:szCs w:val="22"/>
        </w:rPr>
        <w:t>6 inches</w:t>
      </w:r>
      <w:r>
        <w:rPr>
          <w:rStyle w:val="SI"/>
          <w:b/>
          <w:szCs w:val="22"/>
        </w:rPr>
        <w:t xml:space="preserve"> (150 mm)</w:t>
      </w:r>
      <w:r>
        <w:rPr>
          <w:b/>
          <w:szCs w:val="22"/>
        </w:rPr>
        <w:t xml:space="preserve"> wide</w:t>
      </w:r>
      <w:r>
        <w:rPr>
          <w:szCs w:val="22"/>
        </w:rPr>
        <w:t>] &lt;</w:t>
      </w:r>
      <w:r>
        <w:rPr>
          <w:b/>
          <w:szCs w:val="22"/>
        </w:rPr>
        <w:t>Insert dimensions</w:t>
      </w:r>
      <w:r>
        <w:rPr>
          <w:szCs w:val="22"/>
        </w:rPr>
        <w:t>&gt; by [</w:t>
      </w:r>
      <w:r>
        <w:rPr>
          <w:rStyle w:val="IP"/>
          <w:b/>
          <w:szCs w:val="22"/>
        </w:rPr>
        <w:t>72 inches</w:t>
      </w:r>
      <w:r>
        <w:rPr>
          <w:rStyle w:val="SI"/>
          <w:b/>
          <w:szCs w:val="22"/>
        </w:rPr>
        <w:t xml:space="preserve"> (1800 mm)</w:t>
      </w:r>
      <w:r>
        <w:rPr>
          <w:szCs w:val="22"/>
        </w:rPr>
        <w:t>] &lt;</w:t>
      </w:r>
      <w:r>
        <w:rPr>
          <w:b/>
          <w:szCs w:val="22"/>
        </w:rPr>
        <w:t>Insert dimension</w:t>
      </w:r>
      <w:r>
        <w:rPr>
          <w:szCs w:val="22"/>
        </w:rPr>
        <w:t>&gt; long. Provide chamfered corners and a minimum of [</w:t>
      </w:r>
      <w:r>
        <w:rPr>
          <w:b/>
          <w:szCs w:val="22"/>
        </w:rPr>
        <w:t>two</w:t>
      </w:r>
      <w:r>
        <w:rPr>
          <w:szCs w:val="22"/>
        </w:rPr>
        <w:t>] [</w:t>
      </w:r>
      <w:r>
        <w:rPr>
          <w:b/>
          <w:szCs w:val="22"/>
        </w:rPr>
        <w:t>three</w:t>
      </w:r>
      <w:r>
        <w:rPr>
          <w:szCs w:val="22"/>
        </w:rPr>
        <w:t>] factory-formed or -drilled vertical holes through wheel stop for anchoring to substrate.</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PR2"/>
        <w:numPr>
          <w:ilvl w:val="5"/>
          <w:numId w:val="1"/>
        </w:numPr>
        <w:rPr/>
      </w:pPr>
      <w:r>
        <w:rPr/>
        <w:t>Source Limitations: Obtain wheel stops from single source from single manufacturer.</w:t>
      </w:r>
    </w:p>
    <w:p>
      <w:pPr>
        <w:pStyle w:val="CMT"/>
        <w:rPr>
          <w:szCs w:val="22"/>
        </w:rPr>
      </w:pPr>
      <w:r>
        <w:rPr>
          <w:szCs w:val="22"/>
        </w:rPr>
        <w:t>Retain required option in "Color" Subparagraph below; verify color availability with manufacturers. If retaining more than one, indicate locations of each on Drawings or by inserts.</w:t>
      </w:r>
    </w:p>
    <w:p>
      <w:pPr>
        <w:pStyle w:val="PR2"/>
        <w:numPr>
          <w:ilvl w:val="5"/>
          <w:numId w:val="1"/>
        </w:numPr>
        <w:spacing w:before="240" w:after="0"/>
        <w:rPr>
          <w:szCs w:val="22"/>
        </w:rPr>
      </w:pPr>
      <w:r>
        <w:rPr>
          <w:szCs w:val="22"/>
        </w:rPr>
        <w:t>Color: [</w:t>
      </w:r>
      <w:r>
        <w:rPr>
          <w:b/>
          <w:szCs w:val="22"/>
        </w:rPr>
        <w:t>Yellow</w:t>
      </w:r>
      <w:r>
        <w:rPr>
          <w:szCs w:val="22"/>
        </w:rPr>
        <w:t>] [</w:t>
      </w:r>
      <w:r>
        <w:rPr>
          <w:b/>
          <w:szCs w:val="22"/>
        </w:rPr>
        <w:t>Blue</w:t>
      </w:r>
      <w:r>
        <w:rPr>
          <w:szCs w:val="22"/>
        </w:rPr>
        <w:t>] &lt;</w:t>
      </w:r>
      <w:r>
        <w:rPr>
          <w:b/>
          <w:szCs w:val="22"/>
        </w:rPr>
        <w:t>Insert color</w:t>
      </w:r>
      <w:r>
        <w:rPr>
          <w:szCs w:val="22"/>
        </w:rPr>
        <w:t>&gt;.</w:t>
      </w:r>
    </w:p>
    <w:p>
      <w:pPr>
        <w:pStyle w:val="PR2"/>
        <w:numPr>
          <w:ilvl w:val="5"/>
          <w:numId w:val="1"/>
        </w:numPr>
        <w:rPr>
          <w:szCs w:val="22"/>
        </w:rPr>
      </w:pPr>
      <w:r>
        <w:rPr>
          <w:szCs w:val="22"/>
        </w:rPr>
        <w:t>Surface Appearance: Smooth and uniform, with straight and sharp corners.</w:t>
      </w:r>
    </w:p>
    <w:p>
      <w:pPr>
        <w:pStyle w:val="PR2"/>
        <w:numPr>
          <w:ilvl w:val="5"/>
          <w:numId w:val="1"/>
        </w:numPr>
        <w:rPr/>
      </w:pPr>
      <w:r>
        <w:rPr/>
        <w:t xml:space="preserve">Mounting Hardware: Galvanized-steel spike or dowel, </w:t>
      </w:r>
      <w:r>
        <w:rPr>
          <w:rStyle w:val="IP"/>
          <w:szCs w:val="22"/>
        </w:rPr>
        <w:t>1/2-inch</w:t>
      </w:r>
      <w:r>
        <w:rPr>
          <w:rStyle w:val="SI"/>
          <w:szCs w:val="22"/>
        </w:rPr>
        <w:t xml:space="preserve"> (13-mm)</w:t>
      </w:r>
      <w:r>
        <w:rPr/>
        <w:t xml:space="preserve"> minimum diameter, </w:t>
      </w:r>
      <w:r>
        <w:rPr>
          <w:rStyle w:val="IP"/>
          <w:szCs w:val="22"/>
        </w:rPr>
        <w:t>14-inch</w:t>
      </w:r>
      <w:r>
        <w:rPr>
          <w:rStyle w:val="SI"/>
          <w:szCs w:val="22"/>
        </w:rPr>
        <w:t xml:space="preserve"> (350-mm)</w:t>
      </w:r>
      <w:r>
        <w:rPr/>
        <w:t xml:space="preserve"> minimum length.</w:t>
      </w:r>
    </w:p>
    <w:p>
      <w:pPr>
        <w:pStyle w:val="PRT"/>
        <w:numPr>
          <w:ilvl w:val="0"/>
          <w:numId w:val="1"/>
        </w:numPr>
        <w:ind w:hanging="0" w:left="0"/>
        <w:rPr>
          <w:szCs w:val="22"/>
        </w:rPr>
      </w:pPr>
      <w:r>
        <w:rPr>
          <w:szCs w:val="22"/>
        </w:rPr>
        <w:t>EXECUTION</w:t>
      </w:r>
    </w:p>
    <w:p>
      <w:pPr>
        <w:pStyle w:val="ART"/>
        <w:numPr>
          <w:ilvl w:val="3"/>
          <w:numId w:val="1"/>
        </w:numPr>
        <w:ind w:hanging="0" w:left="0"/>
        <w:rPr>
          <w:szCs w:val="22"/>
        </w:rPr>
      </w:pPr>
      <w:r>
        <w:rPr>
          <w:szCs w:val="22"/>
        </w:rPr>
        <w:t>EXAMINATION</w:t>
      </w:r>
    </w:p>
    <w:p>
      <w:pPr>
        <w:pStyle w:val="PR1"/>
        <w:numPr>
          <w:ilvl w:val="4"/>
          <w:numId w:val="1"/>
        </w:numPr>
        <w:rPr>
          <w:szCs w:val="22"/>
        </w:rPr>
      </w:pPr>
      <w:r>
        <w:rPr>
          <w:szCs w:val="22"/>
        </w:rPr>
        <w:t>Verify that pavement is in suitable condition to begin installation in accordance with manufacturer's written instructions.</w:t>
      </w:r>
    </w:p>
    <w:p>
      <w:pPr>
        <w:pStyle w:val="PR1"/>
        <w:numPr>
          <w:ilvl w:val="4"/>
          <w:numId w:val="1"/>
        </w:numPr>
        <w:rPr>
          <w:szCs w:val="22"/>
        </w:rPr>
      </w:pPr>
      <w:r>
        <w:rPr>
          <w:szCs w:val="22"/>
        </w:rPr>
        <w:t>Proceed with installation only after unsatisfactory conditions have been corrected.</w:t>
      </w:r>
    </w:p>
    <w:p>
      <w:pPr>
        <w:pStyle w:val="ART"/>
        <w:numPr>
          <w:ilvl w:val="3"/>
          <w:numId w:val="1"/>
        </w:numPr>
        <w:ind w:hanging="0" w:left="0"/>
        <w:rPr>
          <w:szCs w:val="22"/>
        </w:rPr>
      </w:pPr>
      <w:r>
        <w:rPr>
          <w:szCs w:val="22"/>
        </w:rPr>
        <w:t>INSTALLATION</w:t>
      </w:r>
    </w:p>
    <w:p>
      <w:pPr>
        <w:pStyle w:val="PR1"/>
        <w:numPr>
          <w:ilvl w:val="4"/>
          <w:numId w:val="1"/>
        </w:numPr>
        <w:rPr>
          <w:szCs w:val="22"/>
        </w:rPr>
      </w:pPr>
      <w:r>
        <w:rPr>
          <w:szCs w:val="22"/>
        </w:rPr>
        <w:t>Install wheel stops in accordance with manufacturer's written instructions unless otherwise indicated.</w:t>
      </w:r>
    </w:p>
    <w:p>
      <w:pPr>
        <w:pStyle w:val="CMT"/>
        <w:rPr>
          <w:szCs w:val="22"/>
        </w:rPr>
      </w:pPr>
      <w:r>
        <w:rPr>
          <w:szCs w:val="22"/>
        </w:rPr>
        <w:t>Retain first paragraph below where permanently installed resilient wheel stops are required or if mechanical attachment is considered insufficient. Consult manufacturers.</w:t>
      </w:r>
    </w:p>
    <w:p>
      <w:pPr>
        <w:pStyle w:val="PR1"/>
        <w:numPr>
          <w:ilvl w:val="4"/>
          <w:numId w:val="1"/>
        </w:numPr>
        <w:rPr>
          <w:szCs w:val="22"/>
        </w:rPr>
      </w:pPr>
      <w:r>
        <w:rPr>
          <w:szCs w:val="22"/>
        </w:rPr>
        <w:t>Install wheel stops in bed of adhesive before anchoring to substrate.</w:t>
      </w:r>
    </w:p>
    <w:p>
      <w:pPr>
        <w:pStyle w:val="PR1"/>
        <w:numPr>
          <w:ilvl w:val="4"/>
          <w:numId w:val="1"/>
        </w:numPr>
        <w:rPr>
          <w:szCs w:val="22"/>
        </w:rPr>
      </w:pPr>
      <w:r>
        <w:rPr>
          <w:szCs w:val="22"/>
        </w:rPr>
        <w:t>Securely anchor wheel stops to substrate with hardware in each preformed vertical hole in wheel stop as recommended in writing by manufacturer. Recess head of hardware beneath top of wheel stop.</w:t>
      </w:r>
    </w:p>
    <w:p>
      <w:pPr>
        <w:pStyle w:val="EOS"/>
        <w:rPr>
          <w:szCs w:val="22"/>
        </w:rPr>
      </w:pPr>
      <w:r>
        <w:rPr>
          <w:szCs w:val="22"/>
        </w:rPr>
        <w:t>END OF SECTION 321713</w:t>
      </w:r>
    </w:p>
    <w:sectPr>
      <w:headerReference w:type="default" r:id="rId8"/>
      <w:footerReference w:type="default" r:id="rId9"/>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PARKING BUMPERS</w:t>
          </w:r>
        </w:p>
      </w:tc>
      <w:tc>
        <w:tcPr>
          <w:tcW w:w="1872" w:type="dxa"/>
          <w:tcBorders/>
        </w:tcPr>
        <w:p>
          <w:pPr>
            <w:pStyle w:val="RJUST"/>
            <w:rPr/>
          </w:pPr>
          <w:r>
            <w:rPr>
              <w:rStyle w:val="NUM"/>
            </w:rPr>
            <w:t>321713</w:t>
          </w:r>
          <w:r>
            <w:rPr/>
            <w:t xml:space="preserve"> - </w:t>
          </w:r>
          <w:r>
            <w:rPr/>
            <w:fldChar w:fldCharType="begin"/>
          </w:r>
          <w:r>
            <w:rPr/>
            <w:instrText xml:space="preserve"> PAGE </w:instrText>
          </w:r>
          <w:r>
            <w:rPr/>
            <w:fldChar w:fldCharType="separate"/>
          </w:r>
          <w:r>
            <w:rPr/>
            <w:t>4</w:t>
          </w:r>
          <w:r>
            <w:rPr/>
            <w:fldChar w:fldCharType="end"/>
          </w:r>
        </w:p>
      </w:tc>
    </w:tr>
    <w:tr>
      <w:trPr/>
      <w:tc>
        <w:tcPr>
          <w:tcW w:w="7632" w:type="dxa"/>
          <w:tcBorders/>
        </w:tcPr>
        <w:p>
          <w:pPr>
            <w:pStyle w:val="FTR"/>
            <w:snapToGrid w:val="false"/>
            <w:rPr/>
          </w:pPr>
          <w:r>
            <w:rPr/>
          </w:r>
        </w:p>
      </w:tc>
      <w:tc>
        <w:tcPr>
          <w:tcW w:w="1872" w:type="dxa"/>
          <w:tcBorders/>
        </w:tcPr>
        <w:p>
          <w:pPr>
            <w:pStyle w:val="RJUST"/>
            <w:rPr/>
          </w:pPr>
          <w:r>
            <w:rPr>
              <w:rStyle w:val="NUM"/>
            </w:rPr>
            <w:t>321713</w:t>
          </w:r>
          <w:r>
            <w:rPr/>
            <w:t xml:space="preserve"> - </w:t>
          </w:r>
          <w:r>
            <w:rPr/>
            <w:fldChar w:fldCharType="begin"/>
          </w:r>
          <w:r>
            <w:rPr/>
            <w:instrText xml:space="preserve"> PAGE </w:instrText>
          </w:r>
          <w:r>
            <w:rPr/>
            <w:fldChar w:fldCharType="separate"/>
          </w:r>
          <w:r>
            <w:rPr/>
            <w:t>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321713"/>
    <w:docVar w:name="MF95" w:val="02843"/>
    <w:docVar w:name="MFOrigin" w:val="MF04"/>
    <w:docVar w:name="SectionID" w:val="1595"/>
    <w:docVar w:name="SpecType" w:val="MasterSpec"/>
    <w:docVar w:name="Version" w:val="14433"/>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UnresolvedMention">
    <w:name w:val="Unresolved Mention"/>
    <w:qFormat/>
    <w:rPr>
      <w:color w:val="605E5C"/>
      <w:shd w:fill="E1DFDD" w:val="clear"/>
    </w:rPr>
  </w:style>
  <w:style w:type="character" w:styleId="SustHyperlink">
    <w:name w:val="SustHyperlink"/>
    <w:qFormat/>
    <w:rPr>
      <w:color w:val="009900"/>
      <w:szCs w:val="22"/>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1713&amp;ver=09-01-18&amp;format=FL&amp;sid=14433&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specagent.com/LookUp/?ulid=12960&amp;mf=04&amp;src=wd" TargetMode="External"/><Relationship Id="rId5" Type="http://schemas.openxmlformats.org/officeDocument/2006/relationships/hyperlink" Target="http://www.specagent.com/LookUp/?ulid=6886&amp;mf=04&amp;src=wd" TargetMode="External"/><Relationship Id="rId6" Type="http://schemas.openxmlformats.org/officeDocument/2006/relationships/hyperlink" Target="http://www.arcomnet.com/sustainable_design.aspx?topic=344" TargetMode="External"/><Relationship Id="rId7" Type="http://schemas.openxmlformats.org/officeDocument/2006/relationships/hyperlink" Target="http://www.specagent.com/LookUp/?ulid=12961&amp;mf=04&amp;src=wd" TargetMode="Externa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2022-09-26T03:52:00Z</dcterms:created>
  <dc:creator>Deltek, Inc.</dc:creator>
  <dc:description/>
  <cp:keywords>BAS-12345-MS80</cp:keywords>
  <dc:language>zh-CN</dc:language>
  <cp:lastModifiedBy>Janice Nacional</cp:lastModifiedBy>
  <dcterms:modified xsi:type="dcterms:W3CDTF">2022-09-26T03:52:00Z</dcterms:modified>
  <cp:revision>2</cp:revision>
  <dc:subject>PARKING BUMPERS</dc:subject>
  <dc:title>SECTION 321713 - PARKING BUMPERS</dc:title>
</cp:coreProperties>
</file>