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szCs w:val="22"/>
        </w:rPr>
      </w:pPr>
      <w:r>
        <w:rPr>
          <w:szCs w:val="22"/>
        </w:rPr>
        <w:t>Copyright 2018 by The American Institute of Architects (AIA)</w:t>
      </w:r>
    </w:p>
    <w:p>
      <w:pPr>
        <w:pStyle w:val="CMT"/>
        <w:rPr/>
      </w:pPr>
      <w:r>
        <w:rPr>
          <w:szCs w:val="22"/>
        </w:rPr>
        <w:t>Exclusively published and distributed by Deltek, Inc. for the AIA</w:t>
      </w:r>
    </w:p>
    <w:p>
      <w:pPr>
        <w:pStyle w:val="SCT"/>
        <w:rPr>
          <w:szCs w:val="22"/>
        </w:rPr>
      </w:pPr>
      <w:r>
        <w:rPr>
          <w:szCs w:val="22"/>
        </w:rPr>
        <w:t xml:space="preserve">SECTION </w:t>
      </w:r>
      <w:r>
        <w:rPr>
          <w:rStyle w:val="NUM"/>
          <w:szCs w:val="22"/>
        </w:rPr>
        <w:t>321716</w:t>
      </w:r>
      <w:r>
        <w:rPr>
          <w:szCs w:val="22"/>
        </w:rPr>
        <w:t xml:space="preserve"> - </w:t>
      </w:r>
      <w:r>
        <w:rPr>
          <w:rStyle w:val="NAM"/>
          <w:szCs w:val="22"/>
        </w:rPr>
        <w:t>MANUFACTURED TRAFFIC-CALMING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rPr>
      </w:pPr>
      <w:r>
        <w:rPr>
          <w:szCs w:val="22"/>
        </w:rPr>
        <w:t>Revise this Section by deleting and inserting text to meet Project-specific requirements.</w:t>
      </w:r>
    </w:p>
    <w:p>
      <w:pPr>
        <w:pStyle w:val="CMT"/>
        <w:rPr>
          <w:szCs w:val="22"/>
        </w:rPr>
      </w:pPr>
      <w:r>
        <w:rPr>
          <w:szCs w:val="22"/>
        </w:rPr>
        <w:t>Verify that Section titles referenced in this Section are correct for this Project's Specifications; Section titles may have changed.</w:t>
      </w:r>
    </w:p>
    <w:p>
      <w:pPr>
        <w:pStyle w:val="PRT"/>
        <w:numPr>
          <w:ilvl w:val="0"/>
          <w:numId w:val="1"/>
        </w:numPr>
        <w:ind w:hanging="0" w:left="0"/>
        <w:rPr>
          <w:szCs w:val="22"/>
        </w:rPr>
      </w:pPr>
      <w:r>
        <w:rPr>
          <w:szCs w:val="22"/>
        </w:rPr>
        <w:t>GENERAL</w:t>
      </w:r>
    </w:p>
    <w:p>
      <w:pPr>
        <w:pStyle w:val="ART"/>
        <w:numPr>
          <w:ilvl w:val="3"/>
          <w:numId w:val="1"/>
        </w:numPr>
        <w:ind w:hanging="0" w:left="0"/>
        <w:rPr>
          <w:szCs w:val="22"/>
        </w:rPr>
      </w:pPr>
      <w:r>
        <w:rPr>
          <w:szCs w:val="22"/>
        </w:rPr>
        <w:t>RELATED DOCUMENTS</w:t>
      </w:r>
    </w:p>
    <w:p>
      <w:pPr>
        <w:pStyle w:val="CMT"/>
        <w:rPr>
          <w:szCs w:val="22"/>
        </w:rPr>
      </w:pPr>
      <w:r>
        <w:rPr>
          <w:szCs w:val="22"/>
        </w:rPr>
        <w:t>Retain or delete this article in all Sections of Project Manual.</w:t>
      </w:r>
    </w:p>
    <w:p>
      <w:pPr>
        <w:pStyle w:val="PR1"/>
        <w:numPr>
          <w:ilvl w:val="4"/>
          <w:numId w:val="1"/>
        </w:numPr>
        <w:rPr>
          <w:szCs w:val="22"/>
        </w:rPr>
      </w:pPr>
      <w:r>
        <w:rPr>
          <w:szCs w:val="22"/>
        </w:rPr>
        <w:t>Drawings and general provisions of the Contract, including General and Supplementary Conditions and Division 01 Specification Sections, apply to this Section.</w:t>
      </w:r>
    </w:p>
    <w:p>
      <w:pPr>
        <w:pStyle w:val="ART"/>
        <w:numPr>
          <w:ilvl w:val="3"/>
          <w:numId w:val="1"/>
        </w:numPr>
        <w:ind w:hanging="0" w:left="0"/>
        <w:rPr>
          <w:szCs w:val="22"/>
        </w:rPr>
      </w:pPr>
      <w:r>
        <w:rPr>
          <w:szCs w:val="22"/>
        </w:rPr>
        <w:t>SUMMARY</w:t>
      </w:r>
    </w:p>
    <w:p>
      <w:pPr>
        <w:pStyle w:val="PR1"/>
        <w:numPr>
          <w:ilvl w:val="4"/>
          <w:numId w:val="1"/>
        </w:numPr>
        <w:rPr>
          <w:szCs w:val="22"/>
        </w:rPr>
      </w:pPr>
      <w:r>
        <w:rPr>
          <w:szCs w:val="22"/>
        </w:rPr>
        <w:t>Section Includes:</w:t>
      </w:r>
    </w:p>
    <w:p>
      <w:pPr>
        <w:pStyle w:val="PR2"/>
        <w:numPr>
          <w:ilvl w:val="5"/>
          <w:numId w:val="1"/>
        </w:numPr>
        <w:spacing w:before="240" w:after="0"/>
        <w:rPr>
          <w:szCs w:val="22"/>
        </w:rPr>
      </w:pPr>
      <w:r>
        <w:rPr>
          <w:szCs w:val="22"/>
        </w:rPr>
        <w:t>Speed bumps.</w:t>
      </w:r>
    </w:p>
    <w:p>
      <w:pPr>
        <w:pStyle w:val="PR2"/>
        <w:numPr>
          <w:ilvl w:val="5"/>
          <w:numId w:val="1"/>
        </w:numPr>
        <w:outlineLvl w:val="9"/>
        <w:rPr>
          <w:szCs w:val="22"/>
        </w:rPr>
      </w:pPr>
      <w:r>
        <w:rPr>
          <w:szCs w:val="22"/>
        </w:rPr>
        <w:t>Speed humps.</w:t>
      </w:r>
    </w:p>
    <w:p>
      <w:pPr>
        <w:pStyle w:val="PR2"/>
        <w:numPr>
          <w:ilvl w:val="5"/>
          <w:numId w:val="1"/>
        </w:numPr>
        <w:outlineLvl w:val="9"/>
        <w:rPr>
          <w:szCs w:val="22"/>
        </w:rPr>
      </w:pPr>
      <w:r>
        <w:rPr>
          <w:szCs w:val="22"/>
        </w:rPr>
        <w:t>Speed cushions.</w:t>
      </w:r>
    </w:p>
    <w:p>
      <w:pPr>
        <w:pStyle w:val="ART"/>
        <w:numPr>
          <w:ilvl w:val="3"/>
          <w:numId w:val="1"/>
        </w:numPr>
        <w:ind w:hanging="0" w:left="0"/>
        <w:rPr>
          <w:szCs w:val="22"/>
        </w:rPr>
      </w:pPr>
      <w:r>
        <w:rPr>
          <w:szCs w:val="22"/>
        </w:rPr>
        <w:t>ACTION SUBMITTALS</w:t>
      </w:r>
    </w:p>
    <w:p>
      <w:pPr>
        <w:pStyle w:val="PR1"/>
        <w:numPr>
          <w:ilvl w:val="4"/>
          <w:numId w:val="1"/>
        </w:numPr>
        <w:rPr>
          <w:szCs w:val="22"/>
        </w:rPr>
      </w:pPr>
      <w:r>
        <w:rPr>
          <w:szCs w:val="22"/>
        </w:rPr>
        <w:t>Product Data:</w:t>
      </w:r>
    </w:p>
    <w:p>
      <w:pPr>
        <w:pStyle w:val="PR2"/>
        <w:numPr>
          <w:ilvl w:val="5"/>
          <w:numId w:val="1"/>
        </w:numPr>
        <w:spacing w:before="240" w:after="0"/>
        <w:rPr>
          <w:szCs w:val="22"/>
        </w:rPr>
      </w:pPr>
      <w:r>
        <w:rPr>
          <w:szCs w:val="22"/>
        </w:rPr>
        <w:t>Speed bumps.</w:t>
      </w:r>
    </w:p>
    <w:p>
      <w:pPr>
        <w:pStyle w:val="PR2"/>
        <w:numPr>
          <w:ilvl w:val="5"/>
          <w:numId w:val="1"/>
        </w:numPr>
        <w:rPr>
          <w:szCs w:val="22"/>
        </w:rPr>
      </w:pPr>
      <w:r>
        <w:rPr>
          <w:szCs w:val="22"/>
        </w:rPr>
        <w:t>Speed humps.</w:t>
      </w:r>
    </w:p>
    <w:p>
      <w:pPr>
        <w:pStyle w:val="PR2"/>
        <w:numPr>
          <w:ilvl w:val="5"/>
          <w:numId w:val="1"/>
        </w:numPr>
        <w:rPr>
          <w:szCs w:val="22"/>
        </w:rPr>
      </w:pPr>
      <w:r>
        <w:rPr>
          <w:szCs w:val="22"/>
        </w:rPr>
        <w:t>Speed cushions.</w:t>
      </w:r>
    </w:p>
    <w:p>
      <w:pPr>
        <w:pStyle w:val="PR1"/>
        <w:numPr>
          <w:ilvl w:val="4"/>
          <w:numId w:val="1"/>
        </w:numPr>
        <w:rPr>
          <w:szCs w:val="22"/>
        </w:rPr>
      </w:pPr>
      <w:r>
        <w:rPr>
          <w:szCs w:val="22"/>
        </w:rPr>
        <w:t>Sustainable Design Submittals:</w:t>
      </w:r>
    </w:p>
    <w:p>
      <w:pPr>
        <w:pStyle w:val="PR2"/>
        <w:numPr>
          <w:ilvl w:val="5"/>
          <w:numId w:val="1"/>
        </w:numPr>
        <w:spacing w:before="240" w:after="0"/>
        <w:rPr/>
      </w:pPr>
      <w:hyperlink r:id="rId3">
        <w:r>
          <w:rPr>
            <w:rStyle w:val="Hyperlink"/>
            <w:szCs w:val="22"/>
          </w:rPr>
          <w:t>&lt;Double click to insert sustainable design text for recycled content.&gt;</w:t>
        </w:r>
      </w:hyperlink>
    </w:p>
    <w:p>
      <w:pPr>
        <w:pStyle w:val="CMT"/>
        <w:rPr>
          <w:szCs w:val="22"/>
        </w:rPr>
      </w:pPr>
      <w:r>
        <w:rPr>
          <w:szCs w:val="22"/>
        </w:rPr>
        <w:t>Retain "Samples for Initial Selection" and "Samples for Verification" paragraphs below for two-stage Samples.</w:t>
      </w:r>
    </w:p>
    <w:p>
      <w:pPr>
        <w:pStyle w:val="PR1"/>
        <w:numPr>
          <w:ilvl w:val="4"/>
          <w:numId w:val="1"/>
        </w:numPr>
        <w:rPr>
          <w:szCs w:val="22"/>
        </w:rPr>
      </w:pPr>
      <w:r>
        <w:rPr>
          <w:szCs w:val="22"/>
        </w:rPr>
        <w:t>Samples for Initial Selection: For each type of exposed finish requiring color selection.</w:t>
      </w:r>
    </w:p>
    <w:p>
      <w:pPr>
        <w:pStyle w:val="PR1"/>
        <w:numPr>
          <w:ilvl w:val="4"/>
          <w:numId w:val="1"/>
        </w:numPr>
        <w:rPr>
          <w:szCs w:val="22"/>
        </w:rPr>
      </w:pPr>
      <w:r>
        <w:rPr>
          <w:szCs w:val="22"/>
        </w:rPr>
        <w:t>Samples for Verification: Manufactured traffic-calming devices, [</w:t>
      </w:r>
      <w:r>
        <w:rPr>
          <w:rStyle w:val="IP"/>
          <w:b/>
          <w:szCs w:val="22"/>
        </w:rPr>
        <w:t>6 inches</w:t>
      </w:r>
      <w:r>
        <w:rPr>
          <w:rStyle w:val="SI"/>
          <w:b/>
          <w:szCs w:val="22"/>
        </w:rPr>
        <w:t xml:space="preserve"> (150 mm)</w:t>
      </w:r>
      <w:r>
        <w:rPr>
          <w:b/>
          <w:szCs w:val="22"/>
        </w:rPr>
        <w:t xml:space="preserve"> long</w:t>
      </w:r>
      <w:r>
        <w:rPr>
          <w:szCs w:val="22"/>
        </w:rPr>
        <w:t>] &lt;</w:t>
      </w:r>
      <w:r>
        <w:rPr>
          <w:b/>
          <w:szCs w:val="22"/>
        </w:rPr>
        <w:t>Insert dimension</w:t>
      </w:r>
      <w:r>
        <w:rPr>
          <w:szCs w:val="22"/>
        </w:rPr>
        <w:t>&gt;, showing color and cross section; with fasteners.</w:t>
      </w:r>
    </w:p>
    <w:p>
      <w:pPr>
        <w:pStyle w:val="PRT"/>
        <w:numPr>
          <w:ilvl w:val="0"/>
          <w:numId w:val="1"/>
        </w:numPr>
        <w:ind w:hanging="0" w:left="0"/>
        <w:rPr>
          <w:szCs w:val="22"/>
        </w:rPr>
      </w:pPr>
      <w:r>
        <w:rPr>
          <w:szCs w:val="22"/>
        </w:rPr>
        <w:t>PRODUCTS</w:t>
      </w:r>
    </w:p>
    <w:p>
      <w:pPr>
        <w:pStyle w:val="CMT"/>
        <w:rPr/>
      </w:pPr>
      <w:r>
        <w:rPr>
          <w:szCs w:val="22"/>
        </w:rPr>
        <w:t xml:space="preserve">Manufacturers and products listed in SpecAgent and </w:t>
      </w:r>
      <w:bookmarkStart w:id="0" w:name="_GoBack"/>
      <w:r>
        <w:rPr>
          <w:szCs w:val="22"/>
        </w:rPr>
        <w:t>MasterWorks</w:t>
      </w:r>
      <w:bookmarkEnd w:id="0"/>
      <w:r>
        <w:rPr>
          <w:szCs w:val="22"/>
        </w:rPr>
        <w:t xml:space="preserve">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szCs w:val="22"/>
        </w:rPr>
      </w:pPr>
      <w:r>
        <w:rPr>
          <w:szCs w:val="22"/>
        </w:rPr>
        <w:t>SPEED BUMPS &lt;</w:t>
      </w:r>
      <w:r>
        <w:rPr>
          <w:b/>
          <w:szCs w:val="22"/>
        </w:rPr>
        <w:t>Insert drawing designation</w:t>
      </w:r>
      <w:r>
        <w:rPr>
          <w:szCs w:val="22"/>
        </w:rPr>
        <w:t>&gt;</w:t>
      </w:r>
    </w:p>
    <w:p>
      <w:pPr>
        <w:pStyle w:val="CMT"/>
        <w:rPr>
          <w:szCs w:val="22"/>
        </w:rPr>
      </w:pPr>
      <w:r>
        <w:rPr>
          <w:szCs w:val="22"/>
        </w:rPr>
        <w:t>Insert drawing designation. Use these designations on Drawings to identify each product.</w:t>
      </w:r>
    </w:p>
    <w:p>
      <w:pPr>
        <w:pStyle w:val="CMT"/>
        <w:rPr>
          <w:szCs w:val="22"/>
        </w:rPr>
      </w:pPr>
      <w:r>
        <w:rPr>
          <w:szCs w:val="22"/>
        </w:rPr>
        <w:t>Revise materials or dimensions of speed bumps, hardware, and adhesive below to suit Project. Available products vary with manufacturer and type of device.</w:t>
      </w:r>
    </w:p>
    <w:p>
      <w:pPr>
        <w:pStyle w:val="PR1"/>
        <w:numPr>
          <w:ilvl w:val="4"/>
          <w:numId w:val="1"/>
        </w:numPr>
        <w:rPr>
          <w:szCs w:val="22"/>
        </w:rPr>
      </w:pPr>
      <w:r>
        <w:rPr>
          <w:szCs w:val="22"/>
        </w:rPr>
        <w:t>General: Solid, integrally colored, preformed [</w:t>
      </w:r>
      <w:r>
        <w:rPr>
          <w:b/>
          <w:szCs w:val="22"/>
        </w:rPr>
        <w:t>recycled rubber</w:t>
      </w:r>
      <w:r>
        <w:rPr>
          <w:szCs w:val="22"/>
        </w:rPr>
        <w:t>] [</w:t>
      </w:r>
      <w:r>
        <w:rPr>
          <w:b/>
          <w:szCs w:val="22"/>
        </w:rPr>
        <w:t>or</w:t>
      </w:r>
      <w:r>
        <w:rPr>
          <w:szCs w:val="22"/>
        </w:rPr>
        <w:t>] [</w:t>
      </w:r>
      <w:r>
        <w:rPr>
          <w:b/>
          <w:szCs w:val="22"/>
        </w:rPr>
        <w:t>polyurethane</w:t>
      </w:r>
      <w:r>
        <w:rPr>
          <w:szCs w:val="22"/>
        </w:rPr>
        <w:t>]; UV stabilized. Provide factory-formed or -drilled vertical holes for anchoring to substrate.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speed bumps from single source from single manufacturer.</w:t>
      </w:r>
    </w:p>
    <w:p>
      <w:pPr>
        <w:pStyle w:val="PR2"/>
        <w:numPr>
          <w:ilvl w:val="5"/>
          <w:numId w:val="1"/>
        </w:numPr>
        <w:rPr/>
      </w:pPr>
      <w:hyperlink r:id="rId5">
        <w:r>
          <w:rPr>
            <w:rStyle w:val="Hyperlink"/>
            <w:szCs w:val="22"/>
          </w:rPr>
          <w:t>&lt;Double click to insert sustainable design text for recycled content for parking bumpers.&gt;</w:t>
        </w:r>
      </w:hyperlink>
    </w:p>
    <w:p>
      <w:pPr>
        <w:pStyle w:val="PR2"/>
        <w:numPr>
          <w:ilvl w:val="5"/>
          <w:numId w:val="1"/>
        </w:numPr>
        <w:rPr>
          <w:szCs w:val="22"/>
        </w:rPr>
      </w:pPr>
      <w:r>
        <w:rPr>
          <w:szCs w:val="22"/>
        </w:rPr>
        <w:t>Size: [</w:t>
      </w:r>
      <w:r>
        <w:rPr>
          <w:rStyle w:val="IP"/>
          <w:b/>
          <w:szCs w:val="22"/>
        </w:rPr>
        <w:t>2 inches</w:t>
      </w:r>
      <w:r>
        <w:rPr>
          <w:rStyle w:val="SI"/>
          <w:b/>
          <w:szCs w:val="22"/>
        </w:rPr>
        <w:t xml:space="preserve"> (51 mm)</w:t>
      </w:r>
      <w:r>
        <w:rPr>
          <w:b/>
          <w:szCs w:val="22"/>
        </w:rPr>
        <w:t xml:space="preserve"> high by </w:t>
      </w:r>
      <w:r>
        <w:rPr>
          <w:rStyle w:val="IP"/>
          <w:b/>
          <w:szCs w:val="22"/>
        </w:rPr>
        <w:t>10 inches</w:t>
      </w:r>
      <w:r>
        <w:rPr>
          <w:rStyle w:val="SI"/>
          <w:b/>
          <w:szCs w:val="22"/>
        </w:rPr>
        <w:t xml:space="preserve"> (254 mm)</w:t>
      </w:r>
      <w:r>
        <w:rPr>
          <w:b/>
          <w:szCs w:val="22"/>
        </w:rPr>
        <w:t xml:space="preserve"> wide by </w:t>
      </w:r>
      <w:r>
        <w:rPr>
          <w:rStyle w:val="IP"/>
          <w:b/>
          <w:szCs w:val="22"/>
        </w:rPr>
        <w:t>72 inches</w:t>
      </w:r>
      <w:r>
        <w:rPr>
          <w:rStyle w:val="SI"/>
          <w:b/>
          <w:szCs w:val="22"/>
        </w:rPr>
        <w:t xml:space="preserve"> (1800 mm)</w:t>
      </w:r>
      <w:r>
        <w:rPr>
          <w:b/>
          <w:szCs w:val="22"/>
        </w:rPr>
        <w:t xml:space="preserve"> long</w:t>
      </w:r>
      <w:r>
        <w:rPr>
          <w:szCs w:val="22"/>
        </w:rPr>
        <w:t>] &lt;</w:t>
      </w:r>
      <w:r>
        <w:rPr>
          <w:b/>
          <w:szCs w:val="22"/>
        </w:rPr>
        <w:t>Insert dimensions</w:t>
      </w:r>
      <w:r>
        <w:rPr>
          <w:szCs w:val="22"/>
        </w:rPr>
        <w:t>&gt;; with tapered, square, or rounded ends.</w:t>
      </w:r>
    </w:p>
    <w:p>
      <w:pPr>
        <w:pStyle w:val="CMT"/>
        <w:rPr>
          <w:szCs w:val="22"/>
        </w:rPr>
      </w:pPr>
      <w:r>
        <w:rPr>
          <w:szCs w:val="22"/>
        </w:rPr>
        <w:t>Retain required option in "Color" Subparagraph below; verify color availability with manufacturers. If retaining more than one, indicate locations of each on Drawings or by inserts.</w:t>
      </w:r>
    </w:p>
    <w:p>
      <w:pPr>
        <w:pStyle w:val="PR2"/>
        <w:numPr>
          <w:ilvl w:val="5"/>
          <w:numId w:val="1"/>
        </w:numPr>
        <w:rPr>
          <w:szCs w:val="22"/>
        </w:rPr>
      </w:pPr>
      <w:r>
        <w:rPr>
          <w:szCs w:val="22"/>
        </w:rPr>
        <w:t>Color: [</w:t>
      </w:r>
      <w:r>
        <w:rPr>
          <w:b/>
          <w:szCs w:val="22"/>
        </w:rPr>
        <w:t>Black</w:t>
      </w:r>
      <w:r>
        <w:rPr>
          <w:szCs w:val="22"/>
        </w:rPr>
        <w:t>] [</w:t>
      </w:r>
      <w:r>
        <w:rPr>
          <w:b/>
          <w:szCs w:val="22"/>
        </w:rPr>
        <w:t>Yellow</w:t>
      </w:r>
      <w:r>
        <w:rPr>
          <w:szCs w:val="22"/>
        </w:rPr>
        <w:t>] &lt;</w:t>
      </w:r>
      <w:r>
        <w:rPr>
          <w:b/>
          <w:szCs w:val="22"/>
        </w:rPr>
        <w:t>Insert color</w:t>
      </w:r>
      <w:r>
        <w:rPr>
          <w:szCs w:val="22"/>
        </w:rPr>
        <w:t>&gt;.</w:t>
      </w:r>
    </w:p>
    <w:p>
      <w:pPr>
        <w:pStyle w:val="CMT"/>
        <w:rPr>
          <w:szCs w:val="22"/>
        </w:rPr>
      </w:pPr>
      <w:r>
        <w:rPr>
          <w:szCs w:val="22"/>
        </w:rPr>
        <w:t>Retain "Embedded Markings" Subparagraph below if required; revise to suit Project. Availability, shape, and style of markings vary with manufacturer; insert shape or style requirement if required.</w:t>
      </w:r>
    </w:p>
    <w:p>
      <w:pPr>
        <w:pStyle w:val="PR2"/>
        <w:numPr>
          <w:ilvl w:val="5"/>
          <w:numId w:val="1"/>
        </w:numPr>
        <w:rPr>
          <w:szCs w:val="22"/>
        </w:rPr>
      </w:pPr>
      <w:r>
        <w:rPr>
          <w:szCs w:val="22"/>
        </w:rPr>
        <w:t>Embedded Markings: Molded-in, [</w:t>
      </w:r>
      <w:r>
        <w:rPr>
          <w:b/>
          <w:szCs w:val="22"/>
        </w:rPr>
        <w:t>blue</w:t>
      </w:r>
      <w:r>
        <w:rPr>
          <w:szCs w:val="22"/>
        </w:rPr>
        <w:t>] [</w:t>
      </w:r>
      <w:r>
        <w:rPr>
          <w:b/>
          <w:szCs w:val="22"/>
        </w:rPr>
        <w:t>white</w:t>
      </w:r>
      <w:r>
        <w:rPr>
          <w:szCs w:val="22"/>
        </w:rPr>
        <w:t>] [</w:t>
      </w:r>
      <w:r>
        <w:rPr>
          <w:b/>
          <w:szCs w:val="22"/>
        </w:rPr>
        <w:t>yellow</w:t>
      </w:r>
      <w:r>
        <w:rPr>
          <w:szCs w:val="22"/>
        </w:rPr>
        <w:t>] reflective markings, permanently inset in exposed surface.</w:t>
      </w:r>
    </w:p>
    <w:p>
      <w:pPr>
        <w:pStyle w:val="CMT"/>
        <w:rPr>
          <w:szCs w:val="22"/>
        </w:rPr>
      </w:pPr>
      <w:r>
        <w:rPr>
          <w:szCs w:val="22"/>
        </w:rPr>
        <w:t>In "Mounting Hardware" Subparagraph below, first option is generally used for asphalt surfaces and second is generally used for concrete. Consult manufacturer for recommendations.</w:t>
      </w:r>
    </w:p>
    <w:p>
      <w:pPr>
        <w:pStyle w:val="PR2"/>
        <w:numPr>
          <w:ilvl w:val="5"/>
          <w:numId w:val="1"/>
        </w:numPr>
        <w:rPr>
          <w:szCs w:val="22"/>
        </w:rPr>
      </w:pPr>
      <w:r>
        <w:rPr>
          <w:szCs w:val="22"/>
        </w:rPr>
        <w:t>Mounting Hardware: Galvanized-steel [</w:t>
      </w:r>
      <w:r>
        <w:rPr>
          <w:b/>
          <w:szCs w:val="22"/>
        </w:rPr>
        <w:t xml:space="preserve">spike or dowel, </w:t>
      </w:r>
      <w:r>
        <w:rPr>
          <w:rStyle w:val="IP"/>
          <w:b/>
          <w:szCs w:val="22"/>
        </w:rPr>
        <w:t>1/2-inch</w:t>
      </w:r>
      <w:r>
        <w:rPr>
          <w:rStyle w:val="SI"/>
          <w:b/>
          <w:szCs w:val="22"/>
        </w:rPr>
        <w:t xml:space="preserve"> (13-mm)</w:t>
      </w:r>
      <w:r>
        <w:rPr>
          <w:b/>
          <w:szCs w:val="22"/>
        </w:rPr>
        <w:t xml:space="preserve"> diameter, </w:t>
      </w:r>
      <w:r>
        <w:rPr>
          <w:rStyle w:val="IP"/>
          <w:b/>
          <w:szCs w:val="22"/>
        </w:rPr>
        <w:t>10-inch</w:t>
      </w:r>
      <w:r>
        <w:rPr>
          <w:rStyle w:val="SI"/>
          <w:b/>
          <w:szCs w:val="22"/>
        </w:rPr>
        <w:t xml:space="preserve"> (254-mm)</w:t>
      </w:r>
      <w:r>
        <w:rPr>
          <w:b/>
          <w:szCs w:val="22"/>
        </w:rPr>
        <w:t xml:space="preserve"> minimum length</w:t>
      </w:r>
      <w:r>
        <w:rPr>
          <w:szCs w:val="22"/>
        </w:rPr>
        <w:t>] [</w:t>
      </w:r>
      <w:r>
        <w:rPr>
          <w:b/>
          <w:szCs w:val="22"/>
        </w:rPr>
        <w:t xml:space="preserve">lag screw, shield, and washers; </w:t>
      </w:r>
      <w:r>
        <w:rPr>
          <w:rStyle w:val="IP"/>
          <w:b/>
          <w:szCs w:val="22"/>
        </w:rPr>
        <w:t>1/2-inch</w:t>
      </w:r>
      <w:r>
        <w:rPr>
          <w:rStyle w:val="SI"/>
          <w:b/>
          <w:szCs w:val="22"/>
        </w:rPr>
        <w:t xml:space="preserve"> (13-mm)</w:t>
      </w:r>
      <w:r>
        <w:rPr>
          <w:b/>
          <w:szCs w:val="22"/>
        </w:rPr>
        <w:t xml:space="preserve"> diameter, </w:t>
      </w:r>
      <w:r>
        <w:rPr>
          <w:rStyle w:val="IP"/>
          <w:b/>
          <w:szCs w:val="22"/>
        </w:rPr>
        <w:t>8-inch</w:t>
      </w:r>
      <w:r>
        <w:rPr>
          <w:rStyle w:val="SI"/>
          <w:b/>
          <w:szCs w:val="22"/>
        </w:rPr>
        <w:t xml:space="preserve"> (203-mm)</w:t>
      </w:r>
      <w:r>
        <w:rPr>
          <w:b/>
          <w:szCs w:val="22"/>
        </w:rPr>
        <w:t xml:space="preserve"> minimum length</w:t>
      </w:r>
      <w:r>
        <w:rPr>
          <w:szCs w:val="22"/>
        </w:rPr>
        <w:t>] [</w:t>
      </w:r>
      <w:r>
        <w:rPr>
          <w:b/>
          <w:szCs w:val="22"/>
        </w:rPr>
        <w:t>hardware as standard with speed bump manufacturer</w:t>
      </w:r>
      <w:r>
        <w:rPr>
          <w:szCs w:val="22"/>
        </w:rPr>
        <w:t>].</w:t>
      </w:r>
    </w:p>
    <w:p>
      <w:pPr>
        <w:pStyle w:val="CMT"/>
        <w:rPr>
          <w:szCs w:val="22"/>
        </w:rPr>
      </w:pPr>
      <w:r>
        <w:rPr>
          <w:szCs w:val="22"/>
        </w:rPr>
        <w:t>Retain "Adhesive" Subparagraph below where permanently installed speed bumps are required or if traffic load is heavy and mechanical attachment is insufficient.</w:t>
      </w:r>
    </w:p>
    <w:p>
      <w:pPr>
        <w:pStyle w:val="PR2"/>
        <w:numPr>
          <w:ilvl w:val="5"/>
          <w:numId w:val="1"/>
        </w:numPr>
        <w:rPr>
          <w:szCs w:val="22"/>
        </w:rPr>
      </w:pPr>
      <w:r>
        <w:rPr>
          <w:szCs w:val="22"/>
        </w:rPr>
        <w:t>Adhesive: [</w:t>
      </w:r>
      <w:r>
        <w:rPr>
          <w:b/>
          <w:szCs w:val="22"/>
        </w:rPr>
        <w:t>As recommended in writing by speed bump manufacturer</w:t>
      </w:r>
      <w:r>
        <w:rPr>
          <w:szCs w:val="22"/>
        </w:rPr>
        <w:t>] &lt;</w:t>
      </w:r>
      <w:r>
        <w:rPr>
          <w:b/>
          <w:szCs w:val="22"/>
        </w:rPr>
        <w:t>Insert requirement</w:t>
      </w:r>
      <w:r>
        <w:rPr>
          <w:szCs w:val="22"/>
        </w:rPr>
        <w:t>&gt; to permanently adhere speed bump to substrate.</w:t>
      </w:r>
    </w:p>
    <w:p>
      <w:pPr>
        <w:pStyle w:val="ART"/>
        <w:numPr>
          <w:ilvl w:val="3"/>
          <w:numId w:val="1"/>
        </w:numPr>
        <w:ind w:hanging="0" w:left="0"/>
        <w:rPr>
          <w:szCs w:val="22"/>
        </w:rPr>
      </w:pPr>
      <w:r>
        <w:rPr>
          <w:szCs w:val="22"/>
        </w:rPr>
        <w:t>SPEED HUMPS &lt;</w:t>
      </w:r>
      <w:r>
        <w:rPr>
          <w:b/>
          <w:szCs w:val="22"/>
        </w:rPr>
        <w:t>Insert drawing designation</w:t>
      </w:r>
      <w:r>
        <w:rPr>
          <w:szCs w:val="22"/>
        </w:rPr>
        <w:t>&gt;</w:t>
      </w:r>
    </w:p>
    <w:p>
      <w:pPr>
        <w:pStyle w:val="CMT"/>
        <w:rPr/>
      </w:pPr>
      <w:r>
        <w:rPr/>
        <w:t>Insert drawing designation. Use these designations on Drawings to identify each product.</w:t>
      </w:r>
    </w:p>
    <w:p>
      <w:pPr>
        <w:pStyle w:val="CMT"/>
        <w:rPr>
          <w:szCs w:val="22"/>
        </w:rPr>
      </w:pPr>
      <w:r>
        <w:rPr>
          <w:szCs w:val="22"/>
        </w:rPr>
        <w:t>Revise materials or dimensions of speed humps, hardware, and adhesive below to suit Project. Available products vary with manufacturer and type of device.</w:t>
      </w:r>
    </w:p>
    <w:p>
      <w:pPr>
        <w:pStyle w:val="PR1"/>
        <w:numPr>
          <w:ilvl w:val="4"/>
          <w:numId w:val="1"/>
        </w:numPr>
        <w:rPr>
          <w:szCs w:val="22"/>
        </w:rPr>
      </w:pPr>
      <w:r>
        <w:rPr>
          <w:szCs w:val="22"/>
        </w:rPr>
        <w:t>General: Solid, integrally colored, preformed recycled rubber; UV stabilized. Provide factory-formed or -drilled vertical holes for anchoring to substrate.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speed humps from single source from single manufacturer.</w:t>
      </w:r>
    </w:p>
    <w:p>
      <w:pPr>
        <w:pStyle w:val="PR2"/>
        <w:numPr>
          <w:ilvl w:val="5"/>
          <w:numId w:val="1"/>
        </w:numPr>
        <w:rPr/>
      </w:pPr>
      <w:hyperlink r:id="rId7">
        <w:r>
          <w:rPr>
            <w:rStyle w:val="Hyperlink"/>
            <w:szCs w:val="22"/>
          </w:rPr>
          <w:t>&lt;Double click to insert sustainable design text for recycled content for parking bumpers.&gt;</w:t>
        </w:r>
      </w:hyperlink>
    </w:p>
    <w:p>
      <w:pPr>
        <w:pStyle w:val="PR2"/>
        <w:numPr>
          <w:ilvl w:val="5"/>
          <w:numId w:val="1"/>
        </w:numPr>
        <w:rPr>
          <w:szCs w:val="22"/>
        </w:rPr>
      </w:pPr>
      <w:r>
        <w:rPr>
          <w:szCs w:val="22"/>
        </w:rPr>
        <w:t>Size: Modular assembly [</w:t>
      </w:r>
      <w:r>
        <w:rPr>
          <w:rStyle w:val="IP"/>
          <w:b/>
          <w:szCs w:val="22"/>
        </w:rPr>
        <w:t>3 inches</w:t>
      </w:r>
      <w:r>
        <w:rPr>
          <w:rStyle w:val="SI"/>
          <w:b/>
          <w:szCs w:val="22"/>
        </w:rPr>
        <w:t xml:space="preserve"> (76 mm)</w:t>
      </w:r>
      <w:r>
        <w:rPr>
          <w:b/>
          <w:szCs w:val="22"/>
        </w:rPr>
        <w:t xml:space="preserve"> high by </w:t>
      </w:r>
      <w:r>
        <w:rPr>
          <w:rStyle w:val="IP"/>
          <w:b/>
          <w:szCs w:val="22"/>
        </w:rPr>
        <w:t>12 feet</w:t>
      </w:r>
      <w:r>
        <w:rPr>
          <w:rStyle w:val="SI"/>
          <w:b/>
          <w:szCs w:val="22"/>
        </w:rPr>
        <w:t xml:space="preserve"> (3.7 m)</w:t>
      </w:r>
      <w:r>
        <w:rPr>
          <w:b/>
          <w:szCs w:val="22"/>
        </w:rPr>
        <w:t xml:space="preserve"> in overall width</w:t>
      </w:r>
      <w:r>
        <w:rPr>
          <w:szCs w:val="22"/>
        </w:rPr>
        <w:t>] [</w:t>
      </w:r>
      <w:r>
        <w:rPr>
          <w:rStyle w:val="IP"/>
          <w:b/>
          <w:szCs w:val="22"/>
        </w:rPr>
        <w:t>4 inches</w:t>
      </w:r>
      <w:r>
        <w:rPr>
          <w:rStyle w:val="SI"/>
          <w:b/>
          <w:szCs w:val="22"/>
        </w:rPr>
        <w:t xml:space="preserve"> (102 mm)</w:t>
      </w:r>
      <w:r>
        <w:rPr>
          <w:b/>
          <w:szCs w:val="22"/>
        </w:rPr>
        <w:t xml:space="preserve"> high by </w:t>
      </w:r>
      <w:r>
        <w:rPr>
          <w:rStyle w:val="IP"/>
          <w:b/>
          <w:szCs w:val="22"/>
        </w:rPr>
        <w:t>14 feet</w:t>
      </w:r>
      <w:r>
        <w:rPr>
          <w:rStyle w:val="SI"/>
          <w:b/>
          <w:szCs w:val="22"/>
        </w:rPr>
        <w:t xml:space="preserve"> (4.3 m)</w:t>
      </w:r>
      <w:r>
        <w:rPr>
          <w:b/>
          <w:szCs w:val="22"/>
        </w:rPr>
        <w:t xml:space="preserve"> in overall width</w:t>
      </w:r>
      <w:r>
        <w:rPr>
          <w:szCs w:val="22"/>
        </w:rPr>
        <w:t>] &lt;</w:t>
      </w:r>
      <w:r>
        <w:rPr>
          <w:b/>
          <w:szCs w:val="22"/>
        </w:rPr>
        <w:t>Insert dimensions</w:t>
      </w:r>
      <w:r>
        <w:rPr>
          <w:szCs w:val="22"/>
        </w:rPr>
        <w:t>&gt;, with overall length as dimensioned on Drawings; and with tapered, square, or rounded ends.</w:t>
      </w:r>
    </w:p>
    <w:p>
      <w:pPr>
        <w:pStyle w:val="PR2"/>
        <w:numPr>
          <w:ilvl w:val="5"/>
          <w:numId w:val="1"/>
        </w:numPr>
        <w:rPr>
          <w:szCs w:val="22"/>
        </w:rPr>
      </w:pPr>
      <w:r>
        <w:rPr>
          <w:szCs w:val="22"/>
        </w:rPr>
        <w:t>Surface Profile: [</w:t>
      </w:r>
      <w:r>
        <w:rPr>
          <w:b/>
          <w:szCs w:val="22"/>
        </w:rPr>
        <w:t>C</w:t>
      </w:r>
      <w:r>
        <w:rPr>
          <w:b/>
        </w:rPr>
        <w:t>ircular</w:t>
      </w:r>
      <w:r>
        <w:rPr/>
        <w:t>] [</w:t>
      </w:r>
      <w:r>
        <w:rPr>
          <w:b/>
        </w:rPr>
        <w:t>Sinusoidal</w:t>
      </w:r>
      <w:r>
        <w:rPr/>
        <w:t>] [</w:t>
      </w:r>
      <w:r>
        <w:rPr>
          <w:b/>
        </w:rPr>
        <w:t>Trapezoidal</w:t>
      </w:r>
      <w:r>
        <w:rPr/>
        <w:t>].</w:t>
      </w:r>
    </w:p>
    <w:p>
      <w:pPr>
        <w:pStyle w:val="CMT"/>
        <w:rPr>
          <w:szCs w:val="22"/>
        </w:rPr>
      </w:pPr>
      <w:r>
        <w:rPr>
          <w:szCs w:val="22"/>
        </w:rPr>
        <w:t>Retain required option in "Color" Subparagraph below; verify color availability with manufacturers. If retaining more than one, indicate locations of each on Drawings or by inserts.</w:t>
      </w:r>
    </w:p>
    <w:p>
      <w:pPr>
        <w:pStyle w:val="PR2"/>
        <w:numPr>
          <w:ilvl w:val="5"/>
          <w:numId w:val="1"/>
        </w:numPr>
        <w:rPr>
          <w:szCs w:val="22"/>
        </w:rPr>
      </w:pPr>
      <w:r>
        <w:rPr>
          <w:szCs w:val="22"/>
        </w:rPr>
        <w:t>Color: [</w:t>
      </w:r>
      <w:r>
        <w:rPr>
          <w:b/>
          <w:szCs w:val="22"/>
        </w:rPr>
        <w:t>Black</w:t>
      </w:r>
      <w:r>
        <w:rPr>
          <w:szCs w:val="22"/>
        </w:rPr>
        <w:t>] [</w:t>
      </w:r>
      <w:r>
        <w:rPr>
          <w:b/>
          <w:szCs w:val="22"/>
        </w:rPr>
        <w:t>Yellow</w:t>
      </w:r>
      <w:r>
        <w:rPr>
          <w:szCs w:val="22"/>
        </w:rPr>
        <w:t>] &lt;</w:t>
      </w:r>
      <w:r>
        <w:rPr>
          <w:b/>
          <w:szCs w:val="22"/>
        </w:rPr>
        <w:t>Insert color</w:t>
      </w:r>
      <w:r>
        <w:rPr>
          <w:szCs w:val="22"/>
        </w:rPr>
        <w:t>&gt;.</w:t>
      </w:r>
    </w:p>
    <w:p>
      <w:pPr>
        <w:pStyle w:val="CMT"/>
        <w:rPr>
          <w:szCs w:val="22"/>
        </w:rPr>
      </w:pPr>
      <w:r>
        <w:rPr>
          <w:szCs w:val="22"/>
        </w:rPr>
        <w:t>Retain "Embedded Markings" Subparagraph below if required; revise to suit Project. Availability, shape, and style of markings vary with manufacturer; insert shape or style requirement if required.</w:t>
      </w:r>
    </w:p>
    <w:p>
      <w:pPr>
        <w:pStyle w:val="PR2"/>
        <w:numPr>
          <w:ilvl w:val="5"/>
          <w:numId w:val="1"/>
        </w:numPr>
        <w:rPr>
          <w:szCs w:val="22"/>
        </w:rPr>
      </w:pPr>
      <w:r>
        <w:rPr>
          <w:szCs w:val="22"/>
        </w:rPr>
        <w:t>Embedded Markings: Molded-in, [</w:t>
      </w:r>
      <w:r>
        <w:rPr>
          <w:b/>
          <w:szCs w:val="22"/>
        </w:rPr>
        <w:t>blue</w:t>
      </w:r>
      <w:r>
        <w:rPr>
          <w:szCs w:val="22"/>
        </w:rPr>
        <w:t>] [</w:t>
      </w:r>
      <w:r>
        <w:rPr>
          <w:b/>
          <w:szCs w:val="22"/>
        </w:rPr>
        <w:t>white</w:t>
      </w:r>
      <w:r>
        <w:rPr>
          <w:szCs w:val="22"/>
        </w:rPr>
        <w:t>] [</w:t>
      </w:r>
      <w:r>
        <w:rPr>
          <w:b/>
          <w:szCs w:val="22"/>
        </w:rPr>
        <w:t>yellow</w:t>
      </w:r>
      <w:r>
        <w:rPr>
          <w:szCs w:val="22"/>
        </w:rPr>
        <w:t>] reflective markings, permanently inset in exposed surface.</w:t>
      </w:r>
    </w:p>
    <w:p>
      <w:pPr>
        <w:pStyle w:val="CMT"/>
        <w:rPr>
          <w:szCs w:val="22"/>
        </w:rPr>
      </w:pPr>
      <w:r>
        <w:rPr>
          <w:szCs w:val="22"/>
        </w:rPr>
        <w:t>In "Mounting Hardware" Subparagraph below, first option is generally used for asphalt surfaces and second is generally used for concrete. Consult manufacturer for recommendations.</w:t>
      </w:r>
    </w:p>
    <w:p>
      <w:pPr>
        <w:pStyle w:val="PR2"/>
        <w:numPr>
          <w:ilvl w:val="5"/>
          <w:numId w:val="1"/>
        </w:numPr>
        <w:rPr>
          <w:szCs w:val="22"/>
        </w:rPr>
      </w:pPr>
      <w:r>
        <w:rPr>
          <w:szCs w:val="22"/>
        </w:rPr>
        <w:t>Mounting Hardware: Galvanized-steel [</w:t>
      </w:r>
      <w:r>
        <w:rPr>
          <w:b/>
          <w:szCs w:val="22"/>
        </w:rPr>
        <w:t xml:space="preserve">spike or dowel, </w:t>
      </w:r>
      <w:r>
        <w:rPr>
          <w:rStyle w:val="IP"/>
          <w:b/>
          <w:szCs w:val="22"/>
        </w:rPr>
        <w:t>1/2-inch</w:t>
      </w:r>
      <w:r>
        <w:rPr>
          <w:rStyle w:val="SI"/>
          <w:b/>
          <w:szCs w:val="22"/>
        </w:rPr>
        <w:t xml:space="preserve"> (13-mm)</w:t>
      </w:r>
      <w:r>
        <w:rPr>
          <w:b/>
          <w:szCs w:val="22"/>
        </w:rPr>
        <w:t xml:space="preserve"> diameter, </w:t>
      </w:r>
      <w:r>
        <w:rPr>
          <w:rStyle w:val="IP"/>
          <w:b/>
          <w:szCs w:val="22"/>
        </w:rPr>
        <w:t>10-inch</w:t>
      </w:r>
      <w:r>
        <w:rPr>
          <w:rStyle w:val="SI"/>
          <w:b/>
          <w:szCs w:val="22"/>
        </w:rPr>
        <w:t xml:space="preserve"> (254-mm)</w:t>
      </w:r>
      <w:r>
        <w:rPr>
          <w:b/>
          <w:szCs w:val="22"/>
        </w:rPr>
        <w:t xml:space="preserve"> minimum length</w:t>
      </w:r>
      <w:r>
        <w:rPr>
          <w:szCs w:val="22"/>
        </w:rPr>
        <w:t>] [</w:t>
      </w:r>
      <w:r>
        <w:rPr>
          <w:b/>
          <w:szCs w:val="22"/>
        </w:rPr>
        <w:t xml:space="preserve">lag screw, shield, and washers; </w:t>
      </w:r>
      <w:r>
        <w:rPr>
          <w:rStyle w:val="IP"/>
          <w:b/>
          <w:szCs w:val="22"/>
        </w:rPr>
        <w:t>1/2-inch</w:t>
      </w:r>
      <w:r>
        <w:rPr>
          <w:rStyle w:val="SI"/>
          <w:b/>
          <w:szCs w:val="22"/>
        </w:rPr>
        <w:t xml:space="preserve"> (13-mm)</w:t>
      </w:r>
      <w:r>
        <w:rPr>
          <w:b/>
          <w:szCs w:val="22"/>
        </w:rPr>
        <w:t xml:space="preserve"> diameter, </w:t>
      </w:r>
      <w:r>
        <w:rPr>
          <w:rStyle w:val="IP"/>
          <w:b/>
          <w:szCs w:val="22"/>
        </w:rPr>
        <w:t>8-inch</w:t>
      </w:r>
      <w:r>
        <w:rPr>
          <w:rStyle w:val="SI"/>
          <w:b/>
          <w:szCs w:val="22"/>
        </w:rPr>
        <w:t xml:space="preserve"> (203-mm)</w:t>
      </w:r>
      <w:r>
        <w:rPr>
          <w:b/>
          <w:szCs w:val="22"/>
        </w:rPr>
        <w:t xml:space="preserve"> minimum length</w:t>
      </w:r>
      <w:r>
        <w:rPr>
          <w:szCs w:val="22"/>
        </w:rPr>
        <w:t>] [</w:t>
      </w:r>
      <w:r>
        <w:rPr>
          <w:b/>
          <w:szCs w:val="22"/>
        </w:rPr>
        <w:t>hardware as standard with speed hump manufacturer</w:t>
      </w:r>
      <w:r>
        <w:rPr>
          <w:szCs w:val="22"/>
        </w:rPr>
        <w:t>].</w:t>
      </w:r>
    </w:p>
    <w:p>
      <w:pPr>
        <w:pStyle w:val="CMT"/>
        <w:rPr>
          <w:szCs w:val="22"/>
        </w:rPr>
      </w:pPr>
      <w:r>
        <w:rPr>
          <w:szCs w:val="22"/>
        </w:rPr>
        <w:t>Retain "Adhesive" Subparagraph below where permanently installed speed humps are required or if traffic load is heavy and mechanical attachment is insufficient.</w:t>
      </w:r>
    </w:p>
    <w:p>
      <w:pPr>
        <w:pStyle w:val="PR2"/>
        <w:numPr>
          <w:ilvl w:val="5"/>
          <w:numId w:val="1"/>
        </w:numPr>
        <w:rPr>
          <w:szCs w:val="22"/>
        </w:rPr>
      </w:pPr>
      <w:r>
        <w:rPr>
          <w:szCs w:val="22"/>
        </w:rPr>
        <w:t>Adhesive: [</w:t>
      </w:r>
      <w:r>
        <w:rPr>
          <w:b/>
          <w:szCs w:val="22"/>
        </w:rPr>
        <w:t>As recommended in writing by speed hump manufacturer</w:t>
      </w:r>
      <w:r>
        <w:rPr>
          <w:szCs w:val="22"/>
        </w:rPr>
        <w:t>] &lt;</w:t>
      </w:r>
      <w:r>
        <w:rPr>
          <w:b/>
          <w:szCs w:val="22"/>
        </w:rPr>
        <w:t>Insert requirement</w:t>
      </w:r>
      <w:r>
        <w:rPr>
          <w:szCs w:val="22"/>
        </w:rPr>
        <w:t>&gt; to permanently adhere speed hump to substrate.</w:t>
      </w:r>
    </w:p>
    <w:p>
      <w:pPr>
        <w:pStyle w:val="ART"/>
        <w:numPr>
          <w:ilvl w:val="3"/>
          <w:numId w:val="1"/>
        </w:numPr>
        <w:ind w:hanging="0" w:left="0"/>
        <w:rPr>
          <w:szCs w:val="22"/>
        </w:rPr>
      </w:pPr>
      <w:r>
        <w:rPr>
          <w:szCs w:val="22"/>
        </w:rPr>
        <w:t>SPEED CUSHIONS &lt;</w:t>
      </w:r>
      <w:r>
        <w:rPr>
          <w:b/>
          <w:szCs w:val="22"/>
        </w:rPr>
        <w:t>Insert drawing designation</w:t>
      </w:r>
      <w:r>
        <w:rPr>
          <w:szCs w:val="22"/>
        </w:rPr>
        <w:t>&gt;</w:t>
      </w:r>
    </w:p>
    <w:p>
      <w:pPr>
        <w:pStyle w:val="CMT"/>
        <w:rPr/>
      </w:pPr>
      <w:r>
        <w:rPr/>
        <w:t>Insert drawing designation. Use these designations on Drawings to identify each product.</w:t>
      </w:r>
    </w:p>
    <w:p>
      <w:pPr>
        <w:pStyle w:val="CMT"/>
        <w:rPr/>
      </w:pPr>
      <w:r>
        <w:rPr/>
        <w:t>Revise materials or dimensions of speed cushions, hardware, and adhesive below to suit Project. Available products vary with manufacturer and type of device.</w:t>
      </w:r>
    </w:p>
    <w:p>
      <w:pPr>
        <w:pStyle w:val="PR1"/>
        <w:numPr>
          <w:ilvl w:val="4"/>
          <w:numId w:val="1"/>
        </w:numPr>
        <w:rPr>
          <w:szCs w:val="22"/>
        </w:rPr>
      </w:pPr>
      <w:r>
        <w:rPr>
          <w:szCs w:val="22"/>
        </w:rPr>
        <w:t>General: Solid, integrally colored, preformed recycled rubber; UV stabilized. Provide factory-formed or -drilled vertical holes for anchoring to substrate.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speed cushions from single source from single manufacturer.</w:t>
      </w:r>
    </w:p>
    <w:p>
      <w:pPr>
        <w:pStyle w:val="PR2"/>
        <w:numPr>
          <w:ilvl w:val="5"/>
          <w:numId w:val="1"/>
        </w:numPr>
        <w:rPr/>
      </w:pPr>
      <w:hyperlink r:id="rId9">
        <w:r>
          <w:rPr>
            <w:rStyle w:val="Hyperlink"/>
            <w:szCs w:val="22"/>
          </w:rPr>
          <w:t>&lt;Double click to insert sustainable design text for recycled content for parking bumpers.&gt;</w:t>
        </w:r>
      </w:hyperlink>
    </w:p>
    <w:p>
      <w:pPr>
        <w:pStyle w:val="PR2"/>
        <w:numPr>
          <w:ilvl w:val="5"/>
          <w:numId w:val="1"/>
        </w:numPr>
        <w:rPr>
          <w:szCs w:val="22"/>
        </w:rPr>
      </w:pPr>
      <w:r>
        <w:rPr>
          <w:szCs w:val="22"/>
        </w:rPr>
        <w:t>Size: Modular assembly [</w:t>
      </w:r>
      <w:r>
        <w:rPr>
          <w:rStyle w:val="IP"/>
          <w:b/>
          <w:szCs w:val="22"/>
        </w:rPr>
        <w:t>3 inches</w:t>
      </w:r>
      <w:r>
        <w:rPr>
          <w:rStyle w:val="SI"/>
          <w:b/>
          <w:szCs w:val="22"/>
        </w:rPr>
        <w:t xml:space="preserve"> (76 mm)</w:t>
      </w:r>
      <w:r>
        <w:rPr>
          <w:b/>
          <w:szCs w:val="22"/>
        </w:rPr>
        <w:t xml:space="preserve"> high by </w:t>
      </w:r>
      <w:r>
        <w:rPr>
          <w:rStyle w:val="IP"/>
          <w:b/>
          <w:szCs w:val="22"/>
        </w:rPr>
        <w:t>12 feet</w:t>
      </w:r>
      <w:r>
        <w:rPr>
          <w:rStyle w:val="SI"/>
          <w:b/>
          <w:szCs w:val="22"/>
        </w:rPr>
        <w:t xml:space="preserve"> (3.7 m)</w:t>
      </w:r>
      <w:r>
        <w:rPr>
          <w:b/>
          <w:szCs w:val="22"/>
        </w:rPr>
        <w:t xml:space="preserve"> in overall width</w:t>
      </w:r>
      <w:r>
        <w:rPr>
          <w:szCs w:val="22"/>
        </w:rPr>
        <w:t>] [</w:t>
      </w:r>
      <w:r>
        <w:rPr>
          <w:rStyle w:val="IP"/>
          <w:b/>
          <w:szCs w:val="22"/>
        </w:rPr>
        <w:t>4 inches</w:t>
      </w:r>
      <w:r>
        <w:rPr>
          <w:rStyle w:val="SI"/>
          <w:b/>
          <w:szCs w:val="22"/>
        </w:rPr>
        <w:t xml:space="preserve"> (102 mm)</w:t>
      </w:r>
      <w:r>
        <w:rPr>
          <w:b/>
          <w:szCs w:val="22"/>
        </w:rPr>
        <w:t xml:space="preserve"> high by </w:t>
      </w:r>
      <w:r>
        <w:rPr>
          <w:rStyle w:val="IP"/>
          <w:b/>
          <w:szCs w:val="22"/>
        </w:rPr>
        <w:t>14 feet</w:t>
      </w:r>
      <w:r>
        <w:rPr>
          <w:rStyle w:val="SI"/>
          <w:b/>
          <w:szCs w:val="22"/>
        </w:rPr>
        <w:t xml:space="preserve"> (4.3 m)</w:t>
      </w:r>
      <w:r>
        <w:rPr>
          <w:b/>
          <w:szCs w:val="22"/>
        </w:rPr>
        <w:t xml:space="preserve"> in overall width</w:t>
      </w:r>
      <w:r>
        <w:rPr>
          <w:szCs w:val="22"/>
        </w:rPr>
        <w:t>] &lt;</w:t>
      </w:r>
      <w:r>
        <w:rPr>
          <w:b/>
          <w:szCs w:val="22"/>
        </w:rPr>
        <w:t>Insert dimensions</w:t>
      </w:r>
      <w:r>
        <w:rPr>
          <w:szCs w:val="22"/>
        </w:rPr>
        <w:t>&gt;, with overall length as dimensioned on Drawings; and with tapered, square, or rounded ends.</w:t>
      </w:r>
    </w:p>
    <w:p>
      <w:pPr>
        <w:pStyle w:val="CMT"/>
        <w:rPr>
          <w:szCs w:val="22"/>
        </w:rPr>
      </w:pPr>
      <w:r>
        <w:rPr>
          <w:szCs w:val="22"/>
        </w:rPr>
        <w:t>Retain required option in "Color" Subparagraph below; verify color availability with manufacturers. If retaining more than one, indicate locations of each on Drawings or by inserts.</w:t>
      </w:r>
    </w:p>
    <w:p>
      <w:pPr>
        <w:pStyle w:val="PR2"/>
        <w:numPr>
          <w:ilvl w:val="5"/>
          <w:numId w:val="1"/>
        </w:numPr>
        <w:rPr>
          <w:szCs w:val="22"/>
        </w:rPr>
      </w:pPr>
      <w:r>
        <w:rPr>
          <w:szCs w:val="22"/>
        </w:rPr>
        <w:t>Color: [</w:t>
      </w:r>
      <w:r>
        <w:rPr>
          <w:b/>
          <w:szCs w:val="22"/>
        </w:rPr>
        <w:t>Black</w:t>
      </w:r>
      <w:r>
        <w:rPr>
          <w:szCs w:val="22"/>
        </w:rPr>
        <w:t>] [</w:t>
      </w:r>
      <w:r>
        <w:rPr>
          <w:b/>
          <w:szCs w:val="22"/>
        </w:rPr>
        <w:t>Yellow</w:t>
      </w:r>
      <w:r>
        <w:rPr>
          <w:szCs w:val="22"/>
        </w:rPr>
        <w:t>] &lt;</w:t>
      </w:r>
      <w:r>
        <w:rPr>
          <w:b/>
          <w:szCs w:val="22"/>
        </w:rPr>
        <w:t>Insert color</w:t>
      </w:r>
      <w:r>
        <w:rPr>
          <w:szCs w:val="22"/>
        </w:rPr>
        <w:t>&gt;.</w:t>
      </w:r>
    </w:p>
    <w:p>
      <w:pPr>
        <w:pStyle w:val="CMT"/>
        <w:rPr>
          <w:szCs w:val="22"/>
        </w:rPr>
      </w:pPr>
      <w:r>
        <w:rPr>
          <w:szCs w:val="22"/>
        </w:rPr>
        <w:t>Retain "Embedded Markings" Subparagraph below if required; revise to suit Project. Availability, shape, and style of markings vary with manufacturer; insert shape or style requirement if required.</w:t>
      </w:r>
    </w:p>
    <w:p>
      <w:pPr>
        <w:pStyle w:val="PR2"/>
        <w:numPr>
          <w:ilvl w:val="5"/>
          <w:numId w:val="1"/>
        </w:numPr>
        <w:rPr>
          <w:szCs w:val="22"/>
        </w:rPr>
      </w:pPr>
      <w:r>
        <w:rPr>
          <w:szCs w:val="22"/>
        </w:rPr>
        <w:t>Embedded Markings: Molded-in, [</w:t>
      </w:r>
      <w:r>
        <w:rPr>
          <w:b/>
          <w:szCs w:val="22"/>
        </w:rPr>
        <w:t>blue</w:t>
      </w:r>
      <w:r>
        <w:rPr>
          <w:szCs w:val="22"/>
        </w:rPr>
        <w:t>] [</w:t>
      </w:r>
      <w:r>
        <w:rPr>
          <w:b/>
          <w:szCs w:val="22"/>
        </w:rPr>
        <w:t>white</w:t>
      </w:r>
      <w:r>
        <w:rPr>
          <w:szCs w:val="22"/>
        </w:rPr>
        <w:t>] [</w:t>
      </w:r>
      <w:r>
        <w:rPr>
          <w:b/>
          <w:szCs w:val="22"/>
        </w:rPr>
        <w:t>yellow</w:t>
      </w:r>
      <w:r>
        <w:rPr>
          <w:szCs w:val="22"/>
        </w:rPr>
        <w:t>] reflective markings, permanently inset in exposed surface.</w:t>
      </w:r>
    </w:p>
    <w:p>
      <w:pPr>
        <w:pStyle w:val="CMT"/>
        <w:rPr>
          <w:szCs w:val="22"/>
        </w:rPr>
      </w:pPr>
      <w:r>
        <w:rPr>
          <w:szCs w:val="22"/>
        </w:rPr>
        <w:t>In "Mounting Hardware" Subparagraph below, first option is generally used for asphalt surfaces and second is generally used for concrete. Consult manufacturer for recommendations.</w:t>
      </w:r>
    </w:p>
    <w:p>
      <w:pPr>
        <w:pStyle w:val="PR2"/>
        <w:numPr>
          <w:ilvl w:val="5"/>
          <w:numId w:val="1"/>
        </w:numPr>
        <w:rPr>
          <w:szCs w:val="22"/>
        </w:rPr>
      </w:pPr>
      <w:r>
        <w:rPr>
          <w:szCs w:val="22"/>
        </w:rPr>
        <w:t>Mounting Hardware: Galvanized-steel [</w:t>
      </w:r>
      <w:r>
        <w:rPr>
          <w:b/>
          <w:szCs w:val="22"/>
        </w:rPr>
        <w:t xml:space="preserve">spike or dowel, </w:t>
      </w:r>
      <w:r>
        <w:rPr>
          <w:rStyle w:val="IP"/>
          <w:b/>
          <w:szCs w:val="22"/>
        </w:rPr>
        <w:t>1/2-inch</w:t>
      </w:r>
      <w:r>
        <w:rPr>
          <w:rStyle w:val="SI"/>
          <w:b/>
          <w:szCs w:val="22"/>
        </w:rPr>
        <w:t xml:space="preserve"> (13-mm)</w:t>
      </w:r>
      <w:r>
        <w:rPr>
          <w:b/>
          <w:szCs w:val="22"/>
        </w:rPr>
        <w:t xml:space="preserve"> diameter, </w:t>
      </w:r>
      <w:r>
        <w:rPr>
          <w:rStyle w:val="IP"/>
          <w:b/>
          <w:szCs w:val="22"/>
        </w:rPr>
        <w:t>10-inch</w:t>
      </w:r>
      <w:r>
        <w:rPr>
          <w:rStyle w:val="SI"/>
          <w:b/>
          <w:szCs w:val="22"/>
        </w:rPr>
        <w:t xml:space="preserve"> (254-mm)</w:t>
      </w:r>
      <w:r>
        <w:rPr>
          <w:b/>
          <w:szCs w:val="22"/>
        </w:rPr>
        <w:t xml:space="preserve"> minimum length</w:t>
      </w:r>
      <w:r>
        <w:rPr>
          <w:szCs w:val="22"/>
        </w:rPr>
        <w:t>] [</w:t>
      </w:r>
      <w:r>
        <w:rPr>
          <w:b/>
          <w:szCs w:val="22"/>
        </w:rPr>
        <w:t xml:space="preserve">lag screw, shield, and washers; </w:t>
      </w:r>
      <w:r>
        <w:rPr>
          <w:rStyle w:val="IP"/>
          <w:b/>
          <w:szCs w:val="22"/>
        </w:rPr>
        <w:t>1/2-inch</w:t>
      </w:r>
      <w:r>
        <w:rPr>
          <w:rStyle w:val="SI"/>
          <w:b/>
          <w:szCs w:val="22"/>
        </w:rPr>
        <w:t xml:space="preserve"> (13-mm)</w:t>
      </w:r>
      <w:r>
        <w:rPr>
          <w:b/>
          <w:szCs w:val="22"/>
        </w:rPr>
        <w:t xml:space="preserve"> diameter, </w:t>
      </w:r>
      <w:r>
        <w:rPr>
          <w:rStyle w:val="IP"/>
          <w:b/>
          <w:szCs w:val="22"/>
        </w:rPr>
        <w:t>8-inch</w:t>
      </w:r>
      <w:r>
        <w:rPr>
          <w:rStyle w:val="SI"/>
          <w:b/>
          <w:szCs w:val="22"/>
        </w:rPr>
        <w:t xml:space="preserve"> (203-mm)</w:t>
      </w:r>
      <w:r>
        <w:rPr>
          <w:b/>
          <w:szCs w:val="22"/>
        </w:rPr>
        <w:t xml:space="preserve"> minimum length</w:t>
      </w:r>
      <w:r>
        <w:rPr>
          <w:szCs w:val="22"/>
        </w:rPr>
        <w:t>] [</w:t>
      </w:r>
      <w:r>
        <w:rPr>
          <w:b/>
          <w:szCs w:val="22"/>
        </w:rPr>
        <w:t>hardware as standard with speed cushion manufacturer</w:t>
      </w:r>
      <w:r>
        <w:rPr>
          <w:szCs w:val="22"/>
        </w:rPr>
        <w:t>].</w:t>
      </w:r>
    </w:p>
    <w:p>
      <w:pPr>
        <w:pStyle w:val="CMT"/>
        <w:rPr>
          <w:szCs w:val="22"/>
        </w:rPr>
      </w:pPr>
      <w:r>
        <w:rPr>
          <w:szCs w:val="22"/>
        </w:rPr>
        <w:t>Retain "Adhesive" Subparagraph below where permanently installed speed cushions are required or if traffic load is heavy and mechanical attachment is insufficient.</w:t>
      </w:r>
    </w:p>
    <w:p>
      <w:pPr>
        <w:pStyle w:val="PR2"/>
        <w:numPr>
          <w:ilvl w:val="5"/>
          <w:numId w:val="1"/>
        </w:numPr>
        <w:rPr>
          <w:szCs w:val="22"/>
        </w:rPr>
      </w:pPr>
      <w:r>
        <w:rPr>
          <w:szCs w:val="22"/>
        </w:rPr>
        <w:t>Adhesive: [</w:t>
      </w:r>
      <w:r>
        <w:rPr>
          <w:b/>
          <w:szCs w:val="22"/>
        </w:rPr>
        <w:t>As recommended in writing by speed cushion manufacturer</w:t>
      </w:r>
      <w:r>
        <w:rPr>
          <w:szCs w:val="22"/>
        </w:rPr>
        <w:t>] &lt;</w:t>
      </w:r>
      <w:r>
        <w:rPr>
          <w:b/>
          <w:szCs w:val="22"/>
        </w:rPr>
        <w:t>Insert requirement</w:t>
      </w:r>
      <w:r>
        <w:rPr>
          <w:szCs w:val="22"/>
        </w:rPr>
        <w:t>&gt; to permanently adhere speed cushions to substrate.</w:t>
      </w:r>
    </w:p>
    <w:p>
      <w:pPr>
        <w:pStyle w:val="PRT"/>
        <w:numPr>
          <w:ilvl w:val="0"/>
          <w:numId w:val="1"/>
        </w:numPr>
        <w:ind w:hanging="0" w:left="0"/>
        <w:rPr>
          <w:szCs w:val="22"/>
        </w:rPr>
      </w:pPr>
      <w:r>
        <w:rPr>
          <w:szCs w:val="22"/>
        </w:rPr>
        <w:t>EXECUTION</w:t>
      </w:r>
    </w:p>
    <w:p>
      <w:pPr>
        <w:pStyle w:val="ART"/>
        <w:numPr>
          <w:ilvl w:val="3"/>
          <w:numId w:val="1"/>
        </w:numPr>
        <w:ind w:hanging="0" w:left="0"/>
        <w:rPr>
          <w:szCs w:val="22"/>
        </w:rPr>
      </w:pPr>
      <w:r>
        <w:rPr>
          <w:szCs w:val="22"/>
        </w:rPr>
        <w:t>EXAMINATION</w:t>
      </w:r>
    </w:p>
    <w:p>
      <w:pPr>
        <w:pStyle w:val="PR1"/>
        <w:numPr>
          <w:ilvl w:val="4"/>
          <w:numId w:val="1"/>
        </w:numPr>
        <w:rPr>
          <w:szCs w:val="22"/>
        </w:rPr>
      </w:pPr>
      <w:r>
        <w:rPr>
          <w:szCs w:val="22"/>
        </w:rPr>
        <w:t>Verify that pavement is in suitable condition to begin installation according to manufacturer's written instructions.</w:t>
      </w:r>
    </w:p>
    <w:p>
      <w:pPr>
        <w:pStyle w:val="PR1"/>
        <w:numPr>
          <w:ilvl w:val="4"/>
          <w:numId w:val="1"/>
        </w:numPr>
        <w:rPr>
          <w:szCs w:val="22"/>
        </w:rPr>
      </w:pPr>
      <w:r>
        <w:rPr>
          <w:szCs w:val="22"/>
        </w:rPr>
        <w:t>Proceed with installation only after unsatisfactory conditions have been corrected.</w:t>
      </w:r>
    </w:p>
    <w:p>
      <w:pPr>
        <w:pStyle w:val="ART"/>
        <w:numPr>
          <w:ilvl w:val="3"/>
          <w:numId w:val="1"/>
        </w:numPr>
        <w:ind w:hanging="0" w:left="0"/>
        <w:rPr>
          <w:szCs w:val="22"/>
        </w:rPr>
      </w:pPr>
      <w:r>
        <w:rPr>
          <w:szCs w:val="22"/>
        </w:rPr>
        <w:t>INSTALLATION</w:t>
      </w:r>
    </w:p>
    <w:p>
      <w:pPr>
        <w:pStyle w:val="PR1"/>
        <w:numPr>
          <w:ilvl w:val="4"/>
          <w:numId w:val="1"/>
        </w:numPr>
        <w:rPr>
          <w:szCs w:val="22"/>
        </w:rPr>
      </w:pPr>
      <w:r>
        <w:rPr>
          <w:szCs w:val="22"/>
        </w:rPr>
        <w:t>Install manufactured traffic-calming devices according to manufacturer's written instructions unless otherwise indicated.</w:t>
      </w:r>
    </w:p>
    <w:p>
      <w:pPr>
        <w:pStyle w:val="CMT"/>
        <w:rPr>
          <w:szCs w:val="22"/>
        </w:rPr>
      </w:pPr>
      <w:r>
        <w:rPr>
          <w:szCs w:val="22"/>
        </w:rPr>
        <w:t>Retain first paragraph below where permanently installed devices are required or if mechanical attachment is considered insufficient, such as for heavy traffic loads. Consult manufacturers for recommendations.</w:t>
      </w:r>
    </w:p>
    <w:p>
      <w:pPr>
        <w:pStyle w:val="PR1"/>
        <w:numPr>
          <w:ilvl w:val="4"/>
          <w:numId w:val="1"/>
        </w:numPr>
        <w:rPr>
          <w:szCs w:val="22"/>
        </w:rPr>
      </w:pPr>
      <w:r>
        <w:rPr>
          <w:szCs w:val="22"/>
        </w:rPr>
        <w:t>Install devices in bed of adhesive before anchoring.</w:t>
      </w:r>
    </w:p>
    <w:p>
      <w:pPr>
        <w:pStyle w:val="PR1"/>
        <w:numPr>
          <w:ilvl w:val="4"/>
          <w:numId w:val="1"/>
        </w:numPr>
        <w:rPr>
          <w:szCs w:val="22"/>
        </w:rPr>
      </w:pPr>
      <w:r>
        <w:rPr>
          <w:szCs w:val="22"/>
        </w:rPr>
        <w:t>Securely anchor devices to substrate with hardware spaced as recommended in writing by manufacturer for heavy traffic. Recess head of hardware beneath top surface of device.</w:t>
      </w:r>
    </w:p>
    <w:p>
      <w:pPr>
        <w:pStyle w:val="EOS"/>
        <w:rPr>
          <w:szCs w:val="22"/>
        </w:rPr>
      </w:pPr>
      <w:r>
        <w:rPr>
          <w:szCs w:val="22"/>
        </w:rPr>
        <w:t>END OF SECTION 321716</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MANUFACTURED TRAFFIC-CALMING DEVICES</w:t>
          </w:r>
        </w:p>
      </w:tc>
      <w:tc>
        <w:tcPr>
          <w:tcW w:w="1872" w:type="dxa"/>
          <w:tcBorders/>
        </w:tcPr>
        <w:p>
          <w:pPr>
            <w:pStyle w:val="RJUST"/>
            <w:rPr/>
          </w:pPr>
          <w:r>
            <w:rPr>
              <w:rStyle w:val="NUM"/>
            </w:rPr>
            <w:t>321716</w:t>
          </w:r>
          <w:r>
            <w:rPr/>
            <w:t xml:space="preserve"> - </w:t>
          </w:r>
          <w:r>
            <w:rPr/>
            <w:fldChar w:fldCharType="begin"/>
          </w:r>
          <w:r>
            <w:rPr/>
            <w:instrText xml:space="preserve"> PAGE </w:instrText>
          </w:r>
          <w:r>
            <w:rPr/>
            <w:fldChar w:fldCharType="separate"/>
          </w:r>
          <w:r>
            <w:rPr/>
            <w:t>5</w:t>
          </w:r>
          <w: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321716"/>
    <w:docVar w:name="MF95" w:val="02849"/>
    <w:docVar w:name="MFOrigin" w:val="MF04"/>
    <w:docVar w:name="SectionID" w:val="1597"/>
    <w:docVar w:name="SpecType" w:val="MasterSpec"/>
    <w:docVar w:name="Version" w:val="144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UnresolvedMention">
    <w:name w:val="Unresolved Mention"/>
    <w:qFormat/>
    <w:rPr>
      <w:color w:val="605E5C"/>
      <w:shd w:fill="E1DFDD" w:val="clear"/>
    </w:rPr>
  </w:style>
  <w:style w:type="character" w:styleId="SustHyperlink">
    <w:name w:val="SustHyperlink"/>
    <w:qFormat/>
    <w:rPr>
      <w:color w:val="009900"/>
      <w:szCs w:val="22"/>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716&amp;ver=09-01-18&amp;format=FL&amp;sid=1444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3554&amp;mf=04&amp;src=wd" TargetMode="External"/><Relationship Id="rId5" Type="http://schemas.openxmlformats.org/officeDocument/2006/relationships/hyperlink" Target="http://www.arcomnet.com/sustainable_design.aspx?topic=344" TargetMode="External"/><Relationship Id="rId6" Type="http://schemas.openxmlformats.org/officeDocument/2006/relationships/hyperlink" Target="http://www.specagent.com/LookUp/?ulid=13555&amp;mf=04&amp;src=wd" TargetMode="External"/><Relationship Id="rId7" Type="http://schemas.openxmlformats.org/officeDocument/2006/relationships/hyperlink" Target="http://www.arcomnet.com/sustainable_design.aspx?topic=344" TargetMode="External"/><Relationship Id="rId8" Type="http://schemas.openxmlformats.org/officeDocument/2006/relationships/hyperlink" Target="http://www.specagent.com/LookUp/?ulid=13556&amp;mf=04&amp;src=wd" TargetMode="External"/><Relationship Id="rId9" Type="http://schemas.openxmlformats.org/officeDocument/2006/relationships/hyperlink" Target="http://www.arcomnet.com/sustainable_design.aspx?topic=344"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2022-09-26T03:52:00Z</dcterms:created>
  <dc:creator>Deltek, Inc.</dc:creator>
  <dc:description/>
  <cp:keywords>BAS-12345-MS80</cp:keywords>
  <dc:language>zh-CN</dc:language>
  <cp:lastModifiedBy>Janice Nacional</cp:lastModifiedBy>
  <dcterms:modified xsi:type="dcterms:W3CDTF">2022-09-26T03:52:00Z</dcterms:modified>
  <cp:revision>2</cp:revision>
  <dc:subject>MANUFACTURED TRAFFIC-CALMING DEVICES</dc:subject>
  <dc:title>SECTION 321716 - MANUFACTURED TRAFFIC-CALMING DEVICES</dc:title>
</cp:coreProperties>
</file>