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321723</w:t>
      </w:r>
      <w:r>
        <w:rPr/>
        <w:t xml:space="preserve"> - </w:t>
      </w:r>
      <w:r>
        <w:rPr>
          <w:rStyle w:val="NAM"/>
        </w:rPr>
        <w:t>PAVEMENT MARKINGS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Painted markings applied to asphalt paving.</w:t>
      </w:r>
    </w:p>
    <w:p>
      <w:pPr>
        <w:pStyle w:val="PR2"/>
        <w:numPr>
          <w:ilvl w:val="5"/>
          <w:numId w:val="1"/>
        </w:numPr>
        <w:rPr/>
      </w:pPr>
      <w:r>
        <w:rPr/>
        <w:t>Painted markings applied to concrete surfaces.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071800 "Traffic Coatings" for painting whole areas of building floors and pavements with coatings having an integral wearing surface.</w:t>
      </w:r>
    </w:p>
    <w:p>
      <w:pPr>
        <w:pStyle w:val="PR2"/>
        <w:numPr>
          <w:ilvl w:val="5"/>
          <w:numId w:val="1"/>
        </w:numPr>
        <w:rPr/>
      </w:pPr>
      <w:r>
        <w:rPr/>
        <w:t>Section 099113 "Exterior Painting" for painting exterior concrete surfaces other than pavement markings.</w:t>
      </w:r>
    </w:p>
    <w:p>
      <w:pPr>
        <w:pStyle w:val="PR2"/>
        <w:numPr>
          <w:ilvl w:val="5"/>
          <w:numId w:val="1"/>
        </w:numPr>
        <w:rPr/>
      </w:pPr>
      <w:r>
        <w:rPr/>
        <w:t>Section 099123 "Interior Painting" for painting interior concrete surfaces other than pavement markings.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subparagraph below if additional requirements are necessary. Insert additional requirements to suit Project.</w:t>
      </w:r>
    </w:p>
    <w:p>
      <w:pPr>
        <w:pStyle w:val="PR2"/>
        <w:numPr>
          <w:ilvl w:val="5"/>
          <w:numId w:val="1"/>
        </w:numPr>
        <w:spacing w:before="240" w:after="0"/>
        <w:rPr/>
      </w:pPr>
      <w:r>
        <w:rPr/>
        <w:t>Review methods and procedures related to marking asphalt paving or concrete surfaces including, but not limited to, the following:</w:t>
      </w:r>
    </w:p>
    <w:p>
      <w:pPr>
        <w:pStyle w:val="PR3"/>
        <w:numPr>
          <w:ilvl w:val="6"/>
          <w:numId w:val="1"/>
        </w:numPr>
        <w:spacing w:before="240" w:after="0"/>
        <w:rPr/>
      </w:pPr>
      <w:r>
        <w:rPr/>
        <w:t>Asphalt-paving or concrete-surface aging period before application of pavement markings.</w:t>
      </w:r>
    </w:p>
    <w:p>
      <w:pPr>
        <w:pStyle w:val="PR3"/>
        <w:numPr>
          <w:ilvl w:val="6"/>
          <w:numId w:val="1"/>
        </w:numPr>
        <w:rPr/>
      </w:pPr>
      <w:r>
        <w:rPr/>
        <w:t>Review requirements for protecting pavement markings, including restriction of traffic during installation period.</w:t>
      </w:r>
    </w:p>
    <w:p>
      <w:pPr>
        <w:pStyle w:val="ART"/>
        <w:numPr>
          <w:ilvl w:val="3"/>
          <w:numId w:val="1"/>
        </w:numPr>
        <w:ind w:hanging="0" w:left="0"/>
        <w:rPr/>
      </w:pPr>
      <w:r>
        <w:rPr/>
        <w:t>ACTION SUBMITTALS</w:t>
      </w:r>
    </w:p>
    <w:p>
      <w:pPr>
        <w:pStyle w:val="PR1"/>
        <w:numPr>
          <w:ilvl w:val="4"/>
          <w:numId w:val="1"/>
        </w:numPr>
        <w:rPr/>
      </w:pPr>
      <w:r>
        <w:rPr/>
        <w:t>Product Data: Include technical data and tested physical and performance properties.</w:t>
      </w:r>
    </w:p>
    <w:p>
      <w:pPr>
        <w:pStyle w:val="PR2"/>
        <w:numPr>
          <w:ilvl w:val="5"/>
          <w:numId w:val="1"/>
        </w:numPr>
        <w:spacing w:before="240" w:after="0"/>
        <w:rPr/>
      </w:pPr>
      <w:r>
        <w:rPr/>
        <w:t>Pavement-marking paint, alkyd.</w:t>
      </w:r>
    </w:p>
    <w:p>
      <w:pPr>
        <w:pStyle w:val="PR2"/>
        <w:numPr>
          <w:ilvl w:val="5"/>
          <w:numId w:val="1"/>
        </w:numPr>
        <w:rPr/>
      </w:pPr>
      <w:r>
        <w:rPr/>
        <w:t>Pavement-marking paint, solvent-borne.</w:t>
      </w:r>
    </w:p>
    <w:p>
      <w:pPr>
        <w:pStyle w:val="PR2"/>
        <w:numPr>
          <w:ilvl w:val="5"/>
          <w:numId w:val="1"/>
        </w:numPr>
        <w:rPr/>
      </w:pPr>
      <w:r>
        <w:rPr/>
        <w:t>Pavement-marking paint, acrylic.</w:t>
      </w:r>
    </w:p>
    <w:p>
      <w:pPr>
        <w:pStyle w:val="PR2"/>
        <w:numPr>
          <w:ilvl w:val="5"/>
          <w:numId w:val="1"/>
        </w:numPr>
        <w:rPr/>
      </w:pPr>
      <w:r>
        <w:rPr/>
        <w:t>Pavement-marking paint, latex.</w:t>
      </w:r>
    </w:p>
    <w:p>
      <w:pPr>
        <w:pStyle w:val="PR2"/>
        <w:numPr>
          <w:ilvl w:val="5"/>
          <w:numId w:val="1"/>
        </w:numPr>
        <w:rPr/>
      </w:pPr>
      <w:r>
        <w:rPr/>
        <w:t>Glass beads.</w:t>
      </w:r>
    </w:p>
    <w:p>
      <w:pPr>
        <w:pStyle w:val="PR1"/>
        <w:numPr>
          <w:ilvl w:val="4"/>
          <w:numId w:val="1"/>
        </w:numPr>
        <w:rPr/>
      </w:pPr>
      <w:r>
        <w:rPr/>
        <w:t>Shop Drawings:</w:t>
      </w:r>
    </w:p>
    <w:p>
      <w:pPr>
        <w:pStyle w:val="PR2"/>
        <w:numPr>
          <w:ilvl w:val="5"/>
          <w:numId w:val="1"/>
        </w:numPr>
        <w:spacing w:before="240" w:after="0"/>
        <w:rPr/>
      </w:pPr>
      <w:r>
        <w:rPr/>
        <w:t>Indicate pavement markings, colors, lane separations, defined parking spaces, and dimensions to adjacent work.</w:t>
      </w:r>
    </w:p>
    <w:p>
      <w:pPr>
        <w:pStyle w:val="PR2"/>
        <w:numPr>
          <w:ilvl w:val="5"/>
          <w:numId w:val="1"/>
        </w:numPr>
        <w:rPr/>
      </w:pPr>
      <w:r>
        <w:rPr/>
        <w:t>Indicate, with international symbol of accessibility, spaces allocated for people with disabilities.</w:t>
      </w:r>
    </w:p>
    <w:p>
      <w:pPr>
        <w:pStyle w:val="CMT"/>
        <w:rPr/>
      </w:pPr>
      <w:r>
        <w:rPr/>
        <w:t>Retain "Samples" Paragraph below for single-stage Samples, with a subordinate list if applicable.</w:t>
      </w:r>
    </w:p>
    <w:p>
      <w:pPr>
        <w:pStyle w:val="PR1"/>
        <w:numPr>
          <w:ilvl w:val="4"/>
          <w:numId w:val="1"/>
        </w:numPr>
        <w:rPr/>
      </w:pPr>
      <w:r>
        <w:rPr/>
        <w:t xml:space="preserve">Samples: For each exposed product and for each color and texture specified; on rigid backing, </w:t>
      </w:r>
      <w:r>
        <w:rPr>
          <w:rStyle w:val="IP"/>
        </w:rPr>
        <w:t>8 inches</w:t>
      </w:r>
      <w:r>
        <w:rPr>
          <w:rStyle w:val="SI"/>
        </w:rPr>
        <w:t xml:space="preserve"> (200 mm)</w:t>
      </w:r>
      <w:r>
        <w:rPr/>
        <w:t xml:space="preserve"> square.</w:t>
      </w:r>
    </w:p>
    <w:p>
      <w:pPr>
        <w:pStyle w:val="ART"/>
        <w:numPr>
          <w:ilvl w:val="3"/>
          <w:numId w:val="1"/>
        </w:numPr>
        <w:ind w:hanging="0" w:left="0"/>
        <w:rPr/>
      </w:pPr>
      <w:r>
        <w:rPr/>
        <w:t>QUALITY ASSURANCE</w:t>
      </w:r>
    </w:p>
    <w:p>
      <w:pPr>
        <w:pStyle w:val="CMT"/>
        <w:rPr/>
      </w:pPr>
      <w:r>
        <w:rPr/>
        <w:t>Retain "Regulatory Requirements" Paragraph below if pavement-marking work is located on public property and must comply with requirements of state or local DOT.</w:t>
      </w:r>
    </w:p>
    <w:p>
      <w:pPr>
        <w:pStyle w:val="PR1"/>
        <w:numPr>
          <w:ilvl w:val="4"/>
          <w:numId w:val="1"/>
        </w:numPr>
        <w:rPr/>
      </w:pPr>
      <w:r>
        <w:rPr/>
        <w:t>Regulatory Requirements: Comply with materials, workmanship, and other applicable requirements of &lt;</w:t>
      </w:r>
      <w:r>
        <w:rPr>
          <w:b/>
        </w:rPr>
        <w:t>Insert applicable standards</w:t>
      </w:r>
      <w:r>
        <w:rPr/>
        <w:t>&gt; of &lt;</w:t>
      </w:r>
      <w:r>
        <w:rPr>
          <w:b/>
        </w:rPr>
        <w:t>Insert name of state or local DOT</w:t>
      </w:r>
      <w:r>
        <w:rPr/>
        <w:t>&gt; for pavement-marking work.</w:t>
      </w:r>
    </w:p>
    <w:p>
      <w:pPr>
        <w:pStyle w:val="PR2"/>
        <w:numPr>
          <w:ilvl w:val="5"/>
          <w:numId w:val="1"/>
        </w:numPr>
        <w:spacing w:before="240" w:after="0"/>
        <w:rPr/>
      </w:pPr>
      <w:r>
        <w:rPr/>
        <w:t>Measurement and payment provisions and safety program submittals included in standard specifications do not apply to this Section.</w:t>
      </w:r>
    </w:p>
    <w:p>
      <w:pPr>
        <w:pStyle w:val="ART"/>
        <w:numPr>
          <w:ilvl w:val="3"/>
          <w:numId w:val="1"/>
        </w:numPr>
        <w:ind w:hanging="0" w:left="0"/>
        <w:rPr/>
      </w:pPr>
      <w:r>
        <w:rPr/>
        <w:t>FIELD CONDITIONS</w:t>
      </w:r>
    </w:p>
    <w:p>
      <w:pPr>
        <w:pStyle w:val="PR1"/>
        <w:numPr>
          <w:ilvl w:val="4"/>
          <w:numId w:val="1"/>
        </w:numPr>
        <w:rPr/>
      </w:pPr>
      <w:r>
        <w:rPr/>
        <w:t>Environmental Limitations: Proceed with pavement marking only on clean, dry surfaces and at a minimum ambient or surface temperature of [</w:t>
      </w:r>
      <w:r>
        <w:rPr>
          <w:rStyle w:val="IP"/>
          <w:b/>
        </w:rPr>
        <w:t>40 deg F</w:t>
      </w:r>
      <w:r>
        <w:rPr>
          <w:rStyle w:val="SI"/>
          <w:b/>
        </w:rPr>
        <w:t xml:space="preserve"> (4.4 deg C)</w:t>
      </w:r>
      <w:r>
        <w:rPr>
          <w:b/>
        </w:rPr>
        <w:t xml:space="preserve"> for alkyd materials</w:t>
      </w:r>
      <w:r>
        <w:rPr/>
        <w:t>] [</w:t>
      </w:r>
      <w:r>
        <w:rPr>
          <w:rStyle w:val="IP"/>
          <w:b/>
        </w:rPr>
        <w:t>55 deg F</w:t>
      </w:r>
      <w:r>
        <w:rPr>
          <w:rStyle w:val="SI"/>
          <w:b/>
        </w:rPr>
        <w:t xml:space="preserve"> (12.8 deg C)</w:t>
      </w:r>
      <w:r>
        <w:rPr>
          <w:b/>
        </w:rPr>
        <w:t xml:space="preserve"> for water-based materials</w:t>
      </w:r>
      <w:r>
        <w:rPr/>
        <w:t xml:space="preserve">], and not exceeding </w:t>
      </w:r>
      <w:r>
        <w:rPr>
          <w:rStyle w:val="IP"/>
        </w:rPr>
        <w:t>95 deg F</w:t>
      </w:r>
      <w:r>
        <w:rPr>
          <w:rStyle w:val="SI"/>
        </w:rPr>
        <w:t xml:space="preserve"> (35 deg C)</w:t>
      </w:r>
      <w:r>
        <w:rPr/>
        <w: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pavement-marking paints from single source from single manufacturer.</w:t>
      </w:r>
    </w:p>
    <w:p>
      <w:pPr>
        <w:pStyle w:val="ART"/>
        <w:numPr>
          <w:ilvl w:val="3"/>
          <w:numId w:val="1"/>
        </w:numPr>
        <w:ind w:hanging="0" w:left="0"/>
        <w:rPr/>
      </w:pPr>
      <w:r>
        <w:rPr/>
        <w:t>PERFORMANCE REQUIREMENTS</w:t>
      </w:r>
    </w:p>
    <w:p>
      <w:pPr>
        <w:pStyle w:val="CMT"/>
        <w:rPr/>
      </w:pPr>
      <w:r>
        <w:rPr/>
        <w:t>Retain this article if accessible pavement markings are required.</w:t>
      </w:r>
    </w:p>
    <w:p>
      <w:pPr>
        <w:pStyle w:val="CMT"/>
        <w:rPr/>
      </w:pPr>
      <w:r>
        <w:rPr/>
        <w:t>Generally, retain only one of first two options in "Accessibility Standard" Paragraph below. Retain first option for facilities covered under the Americans with Disabilities Act (ADA) of 1990. Retain second for facilities covered under the Architectural Barriers Act (ABA). Retain last option for compliance with the IBC.</w:t>
      </w:r>
    </w:p>
    <w:p>
      <w:pPr>
        <w:pStyle w:val="PR1"/>
        <w:numPr>
          <w:ilvl w:val="4"/>
          <w:numId w:val="1"/>
        </w:numPr>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PAVEMENT-MARKING PAINT</w:t>
      </w:r>
    </w:p>
    <w:p>
      <w:pPr>
        <w:pStyle w:val="CMT"/>
        <w:rPr/>
      </w:pPr>
      <w:r>
        <w:rPr/>
        <w:t>Retain "Pavement-Marking Paint, Alkyd"; "Pavement-Marking Paint, Solvent-Borne"; "Pavement-Marking Paint, Acrylic"; or "Pavement-Marking Paint, Latex" Paragraph below. Verify availability with pavement-marking-paint manufacturers.</w:t>
      </w:r>
    </w:p>
    <w:p>
      <w:pPr>
        <w:pStyle w:val="CMT"/>
        <w:rPr/>
      </w:pPr>
      <w:r>
        <w:rPr/>
        <w:t>In "Pavement-Marking Paint, Alkyd" Paragraph below, drying time of Type N is 15 to 30 minutes. Type F dries faster, in three to six minutes if heated to about 125 deg F (51.5 deg C). Type S dries slowest and should only be used where traffic cones can be in place for one hour or more. Alkyd-resin-type pavement paints exceed 150-g/L VOC limits imposed by the EPA for "traffic-marking coatings," but may meet 450-g/L VOC limits imposed by the EPA for "zone-marking coatings." Revise text if discontinued standard FS TT-P-115, cited by some manufacturers, is required.</w:t>
      </w:r>
    </w:p>
    <w:p>
      <w:pPr>
        <w:pStyle w:val="PR1"/>
        <w:numPr>
          <w:ilvl w:val="4"/>
          <w:numId w:val="1"/>
        </w:numPr>
        <w:rPr/>
      </w:pPr>
      <w:r>
        <w:rPr/>
        <w:t>Pavement-Marking Paint, Alkyd: Alkyd-resin type, lead and chromate free, ready mixed, complying with AASHTO M 248, [</w:t>
      </w:r>
      <w:r>
        <w:rPr>
          <w:b/>
        </w:rPr>
        <w:t>Type N</w:t>
      </w:r>
      <w:r>
        <w:rPr/>
        <w:t>] [</w:t>
      </w:r>
      <w:r>
        <w:rPr>
          <w:b/>
        </w:rPr>
        <w:t>Type F</w:t>
      </w:r>
      <w:r>
        <w:rPr/>
        <w:t>] [</w:t>
      </w:r>
      <w:r>
        <w:rPr>
          <w:b/>
        </w:rPr>
        <w:t>Type S</w:t>
      </w:r>
      <w:r>
        <w:rPr/>
        <w:t>]; colors complying with FS TT-P-1952F.</w:t>
      </w:r>
    </w:p>
    <w:p>
      <w:pPr>
        <w:pStyle w:val="CMT"/>
        <w:rPr/>
      </w:pPr>
      <w:r>
        <w:rPr/>
        <w:t>Retain required color(s) in "Color" Subparagraph below. If more than one color is required, indicate locations of each on Drawings or by inserts.</w:t>
      </w:r>
    </w:p>
    <w:p>
      <w:pPr>
        <w:pStyle w:val="PR2"/>
        <w:numPr>
          <w:ilvl w:val="5"/>
          <w:numId w:val="1"/>
        </w:numPr>
        <w:spacing w:before="240" w:after="0"/>
        <w:rPr/>
      </w:pPr>
      <w:r>
        <w:rPr/>
        <w:t>Color: [</w:t>
      </w:r>
      <w:r>
        <w:rPr>
          <w:b/>
        </w:rPr>
        <w:t>White</w:t>
      </w:r>
      <w:r>
        <w:rPr/>
        <w:t>] [</w:t>
      </w:r>
      <w:r>
        <w:rPr>
          <w:b/>
        </w:rPr>
        <w:t>Yellow</w:t>
      </w:r>
      <w:r>
        <w:rPr/>
        <w:t>] [</w:t>
      </w:r>
      <w:r>
        <w:rPr>
          <w:b/>
        </w:rPr>
        <w:t>Blue</w:t>
      </w:r>
      <w:r>
        <w:rPr/>
        <w:t>] [</w:t>
      </w:r>
      <w:r>
        <w:rPr>
          <w:b/>
        </w:rPr>
        <w:t>As indicated</w:t>
      </w:r>
      <w:r>
        <w:rPr/>
        <w:t>] &lt;</w:t>
      </w:r>
      <w:r>
        <w:rPr>
          <w:b/>
        </w:rPr>
        <w:t>Insert color</w:t>
      </w:r>
      <w:r>
        <w:rPr/>
        <w:t>&gt;.</w:t>
      </w:r>
    </w:p>
    <w:p>
      <w:pPr>
        <w:pStyle w:val="PR1"/>
        <w:numPr>
          <w:ilvl w:val="4"/>
          <w:numId w:val="1"/>
        </w:numPr>
        <w:rPr/>
      </w:pPr>
      <w:r>
        <w:rPr/>
        <w:t>Pavement-Marking Paint, Solvent-Borne: MPI #32, solvent-borne traffic-marking paint.</w:t>
      </w:r>
    </w:p>
    <w:p>
      <w:pPr>
        <w:pStyle w:val="CMT"/>
        <w:rPr/>
      </w:pPr>
      <w:r>
        <w:rPr/>
        <w:t>Retain required color(s) in "Color" Subparagraph below. If more than one color is required, indicate locations of each on Drawings or by inserts.</w:t>
      </w:r>
    </w:p>
    <w:p>
      <w:pPr>
        <w:pStyle w:val="PR2"/>
        <w:numPr>
          <w:ilvl w:val="5"/>
          <w:numId w:val="1"/>
        </w:numPr>
        <w:spacing w:before="240" w:after="0"/>
        <w:rPr/>
      </w:pPr>
      <w:r>
        <w:rPr/>
        <w:t>Color: [</w:t>
      </w:r>
      <w:r>
        <w:rPr>
          <w:b/>
        </w:rPr>
        <w:t>White</w:t>
      </w:r>
      <w:r>
        <w:rPr/>
        <w:t>] [</w:t>
      </w:r>
      <w:r>
        <w:rPr>
          <w:b/>
        </w:rPr>
        <w:t>Yellow</w:t>
      </w:r>
      <w:r>
        <w:rPr/>
        <w:t>] [</w:t>
      </w:r>
      <w:r>
        <w:rPr>
          <w:b/>
        </w:rPr>
        <w:t>Blue</w:t>
      </w:r>
      <w:r>
        <w:rPr/>
        <w:t>] [</w:t>
      </w:r>
      <w:r>
        <w:rPr>
          <w:b/>
        </w:rPr>
        <w:t>As indicated</w:t>
      </w:r>
      <w:r>
        <w:rPr/>
        <w:t>] &lt;</w:t>
      </w:r>
      <w:r>
        <w:rPr>
          <w:b/>
        </w:rPr>
        <w:t>Insert color</w:t>
      </w:r>
      <w:r>
        <w:rPr/>
        <w:t>&gt;.</w:t>
      </w:r>
    </w:p>
    <w:p>
      <w:pPr>
        <w:pStyle w:val="CMT"/>
        <w:rPr/>
      </w:pPr>
      <w:r>
        <w:rPr/>
        <w:t>In "Pavement-Marking Paint, Acrylic" Paragraph below, revise type to Type I if anticipated weather conditions are sufficiently benign. See the Evaluations. Some formulations of waterborne emulsions are quick drying, and others less so; see manufacturer's literature.</w:t>
      </w:r>
    </w:p>
    <w:p>
      <w:pPr>
        <w:pStyle w:val="PR1"/>
        <w:numPr>
          <w:ilvl w:val="4"/>
          <w:numId w:val="1"/>
        </w:numPr>
        <w:rPr/>
      </w:pPr>
      <w:r>
        <w:rPr/>
        <w:t>Pavement-Marking Paint, Acrylic: Acrylic, waterborne emulsion, lead and chromate free, ready mixed, complying with FS TT-P-1952F, Type II, with drying time of less than [</w:t>
      </w:r>
      <w:r>
        <w:rPr>
          <w:b/>
        </w:rPr>
        <w:t>three</w:t>
      </w:r>
      <w:r>
        <w:rPr/>
        <w:t>] [</w:t>
      </w:r>
      <w:r>
        <w:rPr>
          <w:b/>
        </w:rPr>
        <w:t>45</w:t>
      </w:r>
      <w:r>
        <w:rPr/>
        <w:t>] minutes.</w:t>
      </w:r>
    </w:p>
    <w:p>
      <w:pPr>
        <w:pStyle w:val="CMT"/>
        <w:rPr/>
      </w:pPr>
      <w:r>
        <w:rPr/>
        <w:t>Retain required color(s) in "Color" Subparagraph below. If more than one color is required, indicate locations of each on Drawings or by inserts.</w:t>
      </w:r>
    </w:p>
    <w:p>
      <w:pPr>
        <w:pStyle w:val="PR2"/>
        <w:numPr>
          <w:ilvl w:val="5"/>
          <w:numId w:val="1"/>
        </w:numPr>
        <w:spacing w:before="240" w:after="0"/>
        <w:rPr/>
      </w:pPr>
      <w:r>
        <w:rPr/>
        <w:t>Color: [</w:t>
      </w:r>
      <w:r>
        <w:rPr>
          <w:b/>
        </w:rPr>
        <w:t>White</w:t>
      </w:r>
      <w:r>
        <w:rPr/>
        <w:t>] [</w:t>
      </w:r>
      <w:r>
        <w:rPr>
          <w:b/>
        </w:rPr>
        <w:t>Yellow</w:t>
      </w:r>
      <w:r>
        <w:rPr/>
        <w:t>] [</w:t>
      </w:r>
      <w:r>
        <w:rPr>
          <w:b/>
        </w:rPr>
        <w:t>Blue</w:t>
      </w:r>
      <w:r>
        <w:rPr/>
        <w:t>] [</w:t>
      </w:r>
      <w:r>
        <w:rPr>
          <w:b/>
        </w:rPr>
        <w:t>As indicated</w:t>
      </w:r>
      <w:r>
        <w:rPr/>
        <w:t>] &lt;</w:t>
      </w:r>
      <w:r>
        <w:rPr>
          <w:b/>
        </w:rPr>
        <w:t>Insert color</w:t>
      </w:r>
      <w:r>
        <w:rPr/>
        <w:t>&gt;.</w:t>
      </w:r>
    </w:p>
    <w:p>
      <w:pPr>
        <w:pStyle w:val="PR1"/>
        <w:numPr>
          <w:ilvl w:val="4"/>
          <w:numId w:val="1"/>
        </w:numPr>
        <w:rPr/>
      </w:pPr>
      <w:r>
        <w:rPr/>
        <w:t>Pavement-Marking Paint, Latex: MPI #97, latex traffic-marking paint.</w:t>
      </w:r>
    </w:p>
    <w:p>
      <w:pPr>
        <w:pStyle w:val="CMT"/>
        <w:rPr/>
      </w:pPr>
      <w:r>
        <w:rPr/>
        <w:t>Retain required color(s) in "Color" Subparagraph below. If more than one color is required, indicate locations of each on Drawings or by inserts.</w:t>
      </w:r>
    </w:p>
    <w:p>
      <w:pPr>
        <w:pStyle w:val="PR2"/>
        <w:numPr>
          <w:ilvl w:val="5"/>
          <w:numId w:val="1"/>
        </w:numPr>
        <w:spacing w:before="240" w:after="0"/>
        <w:rPr/>
      </w:pPr>
      <w:r>
        <w:rPr/>
        <w:t>Color: [</w:t>
      </w:r>
      <w:r>
        <w:rPr>
          <w:b/>
        </w:rPr>
        <w:t>White</w:t>
      </w:r>
      <w:r>
        <w:rPr/>
        <w:t>] [</w:t>
      </w:r>
      <w:r>
        <w:rPr>
          <w:b/>
        </w:rPr>
        <w:t>Yellow</w:t>
      </w:r>
      <w:r>
        <w:rPr/>
        <w:t>] [</w:t>
      </w:r>
      <w:r>
        <w:rPr>
          <w:b/>
        </w:rPr>
        <w:t>Blue</w:t>
      </w:r>
      <w:r>
        <w:rPr/>
        <w:t>] [</w:t>
      </w:r>
      <w:r>
        <w:rPr>
          <w:b/>
        </w:rPr>
        <w:t>As indicated</w:t>
      </w:r>
      <w:r>
        <w:rPr/>
        <w:t>] &lt;</w:t>
      </w:r>
      <w:r>
        <w:rPr>
          <w:b/>
        </w:rPr>
        <w:t>Insert color</w:t>
      </w:r>
      <w:r>
        <w:rPr/>
        <w:t>&gt;.</w:t>
      </w:r>
    </w:p>
    <w:p>
      <w:pPr>
        <w:pStyle w:val="CMT"/>
        <w:rPr/>
      </w:pPr>
      <w:r>
        <w:rPr/>
        <w:t>Retain "Glass Beads" Paragraph below if reflectorized pavement markings are required. Retain option below or "Roundness" Subparagraph, or both, if required; revise to suit Project. See the Evaluations.</w:t>
      </w:r>
    </w:p>
    <w:p>
      <w:pPr>
        <w:pStyle w:val="PR1"/>
        <w:numPr>
          <w:ilvl w:val="4"/>
          <w:numId w:val="1"/>
        </w:numPr>
        <w:rPr/>
      </w:pPr>
      <w:r>
        <w:rPr/>
        <w:t>Glass Beads: AASHTO M 247, Type 1 or FS TT-B-1325D, Type 1[</w:t>
      </w:r>
      <w:r>
        <w:rPr>
          <w:b/>
        </w:rPr>
        <w:t>, made of 100 percent recycled glass</w:t>
      </w:r>
      <w:r>
        <w:rPr/>
        <w:t>].</w:t>
      </w:r>
    </w:p>
    <w:p>
      <w:pPr>
        <w:pStyle w:val="CMT"/>
        <w:rPr/>
      </w:pPr>
      <w:r>
        <w:rPr/>
        <w:t>Retain "Roundness" Subparagraph below if a greater percentage than 70 percent, required by AASHTO M 247, is required. Reflectivity increases with increase of roundness percentage.</w:t>
      </w:r>
    </w:p>
    <w:p>
      <w:pPr>
        <w:pStyle w:val="PR2"/>
        <w:numPr>
          <w:ilvl w:val="5"/>
          <w:numId w:val="1"/>
        </w:numPr>
        <w:spacing w:before="240" w:after="0"/>
        <w:rPr/>
      </w:pPr>
      <w:r>
        <w:rPr/>
        <w:t>Roundness: Minimum [</w:t>
      </w:r>
      <w:r>
        <w:rPr>
          <w:b/>
        </w:rPr>
        <w:t>75</w:t>
      </w:r>
      <w:r>
        <w:rPr/>
        <w:t>] [</w:t>
      </w:r>
      <w:r>
        <w:rPr>
          <w:b/>
        </w:rPr>
        <w:t>80</w:t>
      </w:r>
      <w:r>
        <w:rPr/>
        <w:t>] percent true spheres by weight.</w:t>
      </w:r>
    </w:p>
    <w:p>
      <w:pPr>
        <w:pStyle w:val="CMT"/>
        <w:rPr/>
      </w:pPr>
      <w:r>
        <w:rPr/>
        <w:t>Insert product requirements here for permanent-marking tapes or thermoplastic paints if required. See the Evaluations.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pavement-marking substrate is dry and in suitable condition to begin pavement marking in accordance with manufacturer's written instructions.</w:t>
      </w:r>
    </w:p>
    <w:p>
      <w:pPr>
        <w:pStyle w:val="PR1"/>
        <w:numPr>
          <w:ilvl w:val="4"/>
          <w:numId w:val="1"/>
        </w:numPr>
        <w:rPr/>
      </w:pPr>
      <w:r>
        <w:rPr/>
        <w:t>Proceed with pavement marking only after unsatisfactory conditions have been corrected.</w:t>
      </w:r>
    </w:p>
    <w:p>
      <w:pPr>
        <w:pStyle w:val="ART"/>
        <w:numPr>
          <w:ilvl w:val="3"/>
          <w:numId w:val="1"/>
        </w:numPr>
        <w:ind w:hanging="0" w:left="0"/>
        <w:rPr/>
      </w:pPr>
      <w:r>
        <w:rPr/>
        <w:t>PAVEMENT MARKING</w:t>
      </w:r>
    </w:p>
    <w:p>
      <w:pPr>
        <w:pStyle w:val="PR1"/>
        <w:numPr>
          <w:ilvl w:val="4"/>
          <w:numId w:val="1"/>
        </w:numPr>
        <w:rPr/>
      </w:pPr>
      <w:r>
        <w:rPr/>
        <w:t>Do not apply pavement-marking paint until layout, colors, and placement have been verified with Architect.</w:t>
      </w:r>
    </w:p>
    <w:p>
      <w:pPr>
        <w:pStyle w:val="CMT"/>
        <w:rPr/>
      </w:pPr>
      <w:r>
        <w:rPr/>
        <w:t>Pavement-marking-paint manufacturers caution that paint will bleed or tear surface of new asphalt unless asphalt is aged before painting. This aging period may vary from 30 to 90 days. If pavement marking must proceed immediately, consider revising text to a phased application of a thin first coat followed by a thicker second coat once asphalt has aged. Verify that two-coat application is recommended by pavement-marking-paint manufacturer.</w:t>
      </w:r>
    </w:p>
    <w:p>
      <w:pPr>
        <w:pStyle w:val="PR1"/>
        <w:numPr>
          <w:ilvl w:val="4"/>
          <w:numId w:val="1"/>
        </w:numPr>
        <w:rPr/>
      </w:pPr>
      <w:r>
        <w:rPr/>
        <w:t>Allow asphalt paving or concrete surfaces to age for a minimum of [</w:t>
      </w:r>
      <w:r>
        <w:rPr>
          <w:b/>
        </w:rPr>
        <w:t>30</w:t>
      </w:r>
      <w:r>
        <w:rPr/>
        <w:t>] [</w:t>
      </w:r>
      <w:r>
        <w:rPr>
          <w:b/>
        </w:rPr>
        <w:t>90</w:t>
      </w:r>
      <w:r>
        <w:rPr/>
        <w:t>] &lt;</w:t>
      </w:r>
      <w:r>
        <w:rPr>
          <w:b/>
        </w:rPr>
        <w:t>Insert number</w:t>
      </w:r>
      <w:r>
        <w:rPr/>
        <w:t>&gt; days before starting pavement marking.</w:t>
      </w:r>
    </w:p>
    <w:p>
      <w:pPr>
        <w:pStyle w:val="PR1"/>
        <w:numPr>
          <w:ilvl w:val="4"/>
          <w:numId w:val="1"/>
        </w:numPr>
        <w:rPr/>
      </w:pPr>
      <w:r>
        <w:rPr/>
        <w:t>Sweep and clean surface to eliminate loose material and dust.</w:t>
      </w:r>
    </w:p>
    <w:p>
      <w:pPr>
        <w:pStyle w:val="CMT"/>
        <w:rPr/>
      </w:pPr>
      <w:r>
        <w:rPr/>
        <w:t>Retain option in paragraph below if retaining waterborne emulsion or latex pavement-marking paint.</w:t>
      </w:r>
    </w:p>
    <w:p>
      <w:pPr>
        <w:pStyle w:val="PR1"/>
        <w:numPr>
          <w:ilvl w:val="4"/>
          <w:numId w:val="1"/>
        </w:numPr>
        <w:rPr/>
      </w:pPr>
      <w:r>
        <w:rPr/>
        <w:t>Apply paint with mechanical equipment to produce pavement markings, of dimensions indicated, with uniform, straight edges. Apply at manufacturer's recommended rates to provide a minimum wet film thickness of [</w:t>
      </w:r>
      <w:r>
        <w:rPr>
          <w:rStyle w:val="IP"/>
          <w:b/>
        </w:rPr>
        <w:t>15 mils</w:t>
      </w:r>
      <w:r>
        <w:rPr>
          <w:rStyle w:val="SI"/>
          <w:b/>
        </w:rPr>
        <w:t xml:space="preserve"> (0.4 mm)</w:t>
      </w:r>
      <w:r>
        <w:rPr/>
        <w:t>] &lt;</w:t>
      </w:r>
      <w:r>
        <w:rPr>
          <w:b/>
        </w:rPr>
        <w:t>Insert dimension</w:t>
      </w:r>
      <w:r>
        <w:rPr/>
        <w:t>&gt;.</w:t>
      </w:r>
    </w:p>
    <w:p>
      <w:pPr>
        <w:pStyle w:val="CMT"/>
        <w:rPr/>
      </w:pPr>
      <w:r>
        <w:rPr/>
        <w:t>Retain first subparagraph below if graphic symbols or lettering is required.</w:t>
      </w:r>
    </w:p>
    <w:p>
      <w:pPr>
        <w:pStyle w:val="PR2"/>
        <w:numPr>
          <w:ilvl w:val="5"/>
          <w:numId w:val="1"/>
        </w:numPr>
        <w:spacing w:before="240" w:after="0"/>
        <w:rPr/>
      </w:pPr>
      <w:r>
        <w:rPr/>
        <w:t>Apply graphic symbols and lettering with paint-resistant, die-cut stencils, firmly secured to asphalt paving or concrete surface. Mask an extended area beyond edges of each stencil to prevent paint application beyond stencil. Apply paint so that it cannot run beneath stencil.</w:t>
      </w:r>
    </w:p>
    <w:p>
      <w:pPr>
        <w:pStyle w:val="CMT"/>
        <w:rPr/>
      </w:pPr>
      <w:r>
        <w:rPr/>
        <w:t>Retain subparagraph below if glass beads are required for reflectivity.</w:t>
      </w:r>
    </w:p>
    <w:p>
      <w:pPr>
        <w:pStyle w:val="PR2"/>
        <w:numPr>
          <w:ilvl w:val="5"/>
          <w:numId w:val="1"/>
        </w:numPr>
        <w:rPr/>
      </w:pPr>
      <w:r>
        <w:rPr/>
        <w:t xml:space="preserve">Broadcast glass beads uniformly into wet markings at a rate of </w:t>
      </w:r>
      <w:r>
        <w:rPr>
          <w:rStyle w:val="IP"/>
        </w:rPr>
        <w:t>6 lb/gal.</w:t>
      </w:r>
      <w:r>
        <w:rPr>
          <w:rStyle w:val="SI"/>
        </w:rPr>
        <w:t xml:space="preserve"> (0.72 kg/L)</w:t>
      </w:r>
      <w:r>
        <w:rPr/>
        <w:t>.</w:t>
      </w:r>
    </w:p>
    <w:p>
      <w:pPr>
        <w:pStyle w:val="ART"/>
        <w:numPr>
          <w:ilvl w:val="3"/>
          <w:numId w:val="1"/>
        </w:numPr>
        <w:ind w:hanging="0" w:left="0"/>
        <w:rPr/>
      </w:pPr>
      <w:r>
        <w:rPr/>
        <w:t>PROTECTING AND CLEANING</w:t>
      </w:r>
    </w:p>
    <w:p>
      <w:pPr>
        <w:pStyle w:val="PR1"/>
        <w:numPr>
          <w:ilvl w:val="4"/>
          <w:numId w:val="1"/>
        </w:numPr>
        <w:rPr/>
      </w:pPr>
      <w:r>
        <w:rPr/>
        <w:t>Protect pavement markings from damage and wear during remainder of construction period.</w:t>
      </w:r>
    </w:p>
    <w:p>
      <w:pPr>
        <w:pStyle w:val="PR1"/>
        <w:numPr>
          <w:ilvl w:val="4"/>
          <w:numId w:val="1"/>
        </w:numPr>
        <w:rPr/>
      </w:pPr>
      <w:r>
        <w:rPr/>
        <w:t>Clean spillage and soiling from adjacent construction using cleaning agents and procedures recommended by manufacturer of affected construction.</w:t>
      </w:r>
    </w:p>
    <w:p>
      <w:pPr>
        <w:pStyle w:val="EOS"/>
        <w:rPr/>
      </w:pPr>
      <w:r>
        <w:rPr/>
        <w:t>END OF SECTION 321723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PAVEMENT MARKINGS</w:t>
          </w:r>
        </w:p>
      </w:tc>
      <w:tc>
        <w:tcPr>
          <w:tcW w:w="1872" w:type="dxa"/>
          <w:tcBorders/>
        </w:tcPr>
        <w:p>
          <w:pPr>
            <w:pStyle w:val="RJUST"/>
            <w:rPr/>
          </w:pPr>
          <w:r>
            <w:rPr>
              <w:rStyle w:val="NUM"/>
            </w:rPr>
            <w:t>321723</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321723"/>
    <w:docVar w:name="MF95" w:val="02763"/>
    <w:docVar w:name="MFOrigin" w:val="MF04"/>
    <w:docVar w:name="SectionID" w:val="1596"/>
    <w:docVar w:name="SpecType" w:val="MasterSpec"/>
    <w:docVar w:name="Version" w:val="144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723&amp;ver=09-01-18&amp;format=FL&amp;sid=14467&amp;utm_source=MasterSpec&amp;utm_medium=Word" TargetMode="External"/><Relationship Id="rId3" Type="http://schemas.openxmlformats.org/officeDocument/2006/relationships/hyperlink" Target="http://www.specagent.com/LookUp/?ulid=6888&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2022-09-26T03:52:00Z</dcterms:created>
  <dc:creator>Deltek, Inc.</dc:creator>
  <dc:description/>
  <cp:keywords>BAS-12345-MS80</cp:keywords>
  <dc:language>zh-CN</dc:language>
  <cp:lastModifiedBy>Janice Nacional</cp:lastModifiedBy>
  <dcterms:modified xsi:type="dcterms:W3CDTF">2022-09-26T03:52:00Z</dcterms:modified>
  <cp:revision>2</cp:revision>
  <dc:subject>PAVEMENT MARKINGS</dc:subject>
  <dc:title>SECTION 321723 - PAVEMENT MARKINGS</dc:title>
</cp:coreProperties>
</file>