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321726</w:t>
      </w:r>
      <w:r>
        <w:rPr/>
        <w:t xml:space="preserve"> - </w:t>
      </w:r>
      <w:r>
        <w:rPr>
          <w:rStyle w:val="NAM"/>
        </w:rPr>
        <w:t>TACTILE WARNING SURFACING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Cast-in-place detectable warning tiles.</w:t>
      </w:r>
    </w:p>
    <w:p>
      <w:pPr>
        <w:pStyle w:val="PR2"/>
        <w:numPr>
          <w:ilvl w:val="5"/>
          <w:numId w:val="1"/>
        </w:numPr>
        <w:rPr/>
      </w:pPr>
      <w:r>
        <w:rPr/>
        <w:t>Surface-applied detectable warning tiles.</w:t>
      </w:r>
    </w:p>
    <w:p>
      <w:pPr>
        <w:pStyle w:val="PR2"/>
        <w:numPr>
          <w:ilvl w:val="5"/>
          <w:numId w:val="1"/>
        </w:numPr>
        <w:rPr/>
      </w:pPr>
      <w:r>
        <w:rPr/>
        <w:t>Detectable warning mats.</w:t>
      </w:r>
    </w:p>
    <w:p>
      <w:pPr>
        <w:pStyle w:val="PR2"/>
        <w:numPr>
          <w:ilvl w:val="5"/>
          <w:numId w:val="1"/>
        </w:numPr>
        <w:rPr/>
      </w:pPr>
      <w:r>
        <w:rPr/>
        <w:t>Cast-in-place detectable warning metal tiles.</w:t>
      </w:r>
    </w:p>
    <w:p>
      <w:pPr>
        <w:pStyle w:val="PR2"/>
        <w:numPr>
          <w:ilvl w:val="5"/>
          <w:numId w:val="1"/>
        </w:numPr>
        <w:rPr/>
      </w:pPr>
      <w:r>
        <w:rPr/>
        <w:t>Surface-applied detectable warning metal tiles.</w:t>
      </w:r>
    </w:p>
    <w:p>
      <w:pPr>
        <w:pStyle w:val="PR2"/>
        <w:numPr>
          <w:ilvl w:val="5"/>
          <w:numId w:val="1"/>
        </w:numPr>
        <w:rPr/>
      </w:pPr>
      <w:r>
        <w:rPr/>
        <w:t>Detectable warning unit pavers.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321313 "Concrete Paving" for concrete walkways serving as substrates for tactile warning surfacing.</w:t>
      </w:r>
    </w:p>
    <w:p>
      <w:pPr>
        <w:pStyle w:val="PR2"/>
        <w:numPr>
          <w:ilvl w:val="5"/>
          <w:numId w:val="1"/>
        </w:numPr>
        <w:rPr/>
      </w:pPr>
      <w:r>
        <w:rPr/>
        <w:t>Section 321400 "Unit Paving" for unit paving installations incorporating detectable warning unit pavers specified in this Section.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finish requiring color selection.</w:t>
      </w:r>
    </w:p>
    <w:p>
      <w:pPr>
        <w:pStyle w:val="PR1"/>
        <w:numPr>
          <w:ilvl w:val="4"/>
          <w:numId w:val="1"/>
        </w:numPr>
        <w:rPr/>
      </w:pPr>
      <w:r>
        <w:rPr/>
        <w:t>Samples for Verification: For each type of tactile warning surface, in manufacturer's standard sizes unless otherwise indicated, showing edge condition, truncated-dome pattern, texture, color, and cross section; with fasteners and anchors.</w:t>
      </w:r>
    </w:p>
    <w:p>
      <w:pPr>
        <w:pStyle w:val="ART"/>
        <w:numPr>
          <w:ilvl w:val="3"/>
          <w:numId w:val="1"/>
        </w:numPr>
        <w:ind w:hanging="0" w:left="0"/>
        <w:rPr/>
      </w:pPr>
      <w:r>
        <w:rPr/>
        <w:t>CLOSEOUT SUBMITTALS</w:t>
      </w:r>
    </w:p>
    <w:p>
      <w:pPr>
        <w:pStyle w:val="PR1"/>
        <w:numPr>
          <w:ilvl w:val="4"/>
          <w:numId w:val="1"/>
        </w:numPr>
        <w:rPr/>
      </w:pPr>
      <w:r>
        <w:rPr/>
        <w:t>Maintenance Data: For tactile warning surfacing, to include in maintenance manuals.</w:t>
      </w:r>
    </w:p>
    <w:p>
      <w:pPr>
        <w:pStyle w:val="ART"/>
        <w:numPr>
          <w:ilvl w:val="3"/>
          <w:numId w:val="1"/>
        </w:numPr>
        <w:ind w:hanging="0" w:left="0"/>
        <w:rPr/>
      </w:pPr>
      <w:r>
        <w:rPr/>
        <w:t>QUALITY ASSURANCE</w:t>
      </w:r>
    </w:p>
    <w:p>
      <w:pPr>
        <w:pStyle w:val="CMT"/>
        <w:rPr/>
      </w:pPr>
      <w:r>
        <w:rPr/>
        <w:t>Delete "Mockups" Paragraph below if not required. If retaining, indicate location, size, and other details of mockups on Drawings or by inserts. Revise wording if only one mockup is required.</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PROJECT CONDITIONS</w:t>
      </w:r>
    </w:p>
    <w:p>
      <w:pPr>
        <w:pStyle w:val="PR1"/>
        <w:numPr>
          <w:ilvl w:val="4"/>
          <w:numId w:val="1"/>
        </w:numPr>
        <w:rPr/>
      </w:pPr>
      <w:r>
        <w:rPr/>
        <w:t>Cold-Weather Protection: Do not use frozen materials or materials mixed or coated with ice or frost. Do not build on frozen subgrade or setting beds. Remove and replace unit paver work damaged by frost or freezing.</w:t>
      </w:r>
    </w:p>
    <w:p>
      <w:pPr>
        <w:pStyle w:val="CMT"/>
        <w:rPr/>
      </w:pPr>
      <w:r>
        <w:rPr/>
        <w:t>Retain "Weather Limitations for Adhesive Application" Paragraph below if using adhesive.</w:t>
      </w:r>
    </w:p>
    <w:p>
      <w:pPr>
        <w:pStyle w:val="PR1"/>
        <w:numPr>
          <w:ilvl w:val="4"/>
          <w:numId w:val="1"/>
        </w:numPr>
        <w:rPr/>
      </w:pPr>
      <w:r>
        <w:rPr/>
        <w:t>Weather Limitations for Adhesive Application:</w:t>
      </w:r>
    </w:p>
    <w:p>
      <w:pPr>
        <w:pStyle w:val="PR2"/>
        <w:numPr>
          <w:ilvl w:val="5"/>
          <w:numId w:val="1"/>
        </w:numPr>
        <w:spacing w:before="240" w:after="0"/>
        <w:rPr/>
      </w:pPr>
      <w:r>
        <w:rPr/>
        <w:t xml:space="preserve">Apply adhesive only when ambient temperature is above </w:t>
      </w:r>
      <w:r>
        <w:rPr>
          <w:rStyle w:val="IP"/>
        </w:rPr>
        <w:t>50 deg F</w:t>
      </w:r>
      <w:r>
        <w:rPr>
          <w:rStyle w:val="SI"/>
        </w:rPr>
        <w:t xml:space="preserve"> (10 deg C)</w:t>
      </w:r>
      <w:r>
        <w:rPr/>
        <w:t xml:space="preserve"> and when temperature has not been below </w:t>
      </w:r>
      <w:r>
        <w:rPr>
          <w:rStyle w:val="IP"/>
        </w:rPr>
        <w:t>35 deg F</w:t>
      </w:r>
      <w:r>
        <w:rPr>
          <w:rStyle w:val="SI"/>
        </w:rPr>
        <w:t xml:space="preserve"> (2 deg C)</w:t>
      </w:r>
      <w:r>
        <w:rPr/>
        <w:t xml:space="preserve"> for 12 hours immediately before application. Do not apply when substrate is wet or contains excess moisture.</w:t>
      </w:r>
    </w:p>
    <w:p>
      <w:pPr>
        <w:pStyle w:val="CMT"/>
        <w:rPr/>
      </w:pPr>
      <w:r>
        <w:rPr/>
        <w:t>Retain "Weather Limitations for Mortar and Grout" Paragraph below if using mortar or grout.</w:t>
      </w:r>
    </w:p>
    <w:p>
      <w:pPr>
        <w:pStyle w:val="PR1"/>
        <w:numPr>
          <w:ilvl w:val="4"/>
          <w:numId w:val="1"/>
        </w:numPr>
        <w:rPr/>
      </w:pPr>
      <w:r>
        <w:rPr/>
        <w:t>Weather Limitations for Mortar and Grout:</w:t>
      </w:r>
    </w:p>
    <w:p>
      <w:pPr>
        <w:pStyle w:val="PR2"/>
        <w:numPr>
          <w:ilvl w:val="5"/>
          <w:numId w:val="1"/>
        </w:numPr>
        <w:spacing w:before="240" w:after="0"/>
        <w:rPr/>
      </w:pPr>
      <w:r>
        <w:rPr/>
        <w:t>Cold-Weather Requirements: Comply with cold-weather construction requirements contained in ACI 530.1/ASCE 6/TMS 602.</w:t>
      </w:r>
    </w:p>
    <w:p>
      <w:pPr>
        <w:pStyle w:val="CMT"/>
        <w:rPr/>
      </w:pPr>
      <w:r>
        <w:rPr/>
        <w:t>Retain "Hot-Weather Requirements" Subparagraph below for detectable warning unit pavers set in mortar. Hot weather has more effect on unit paver installations than on masonry, because horizontal surfaces absorb more solar energy than vertical surfaces. Insert specific limits to suit local conditions.</w:t>
      </w:r>
    </w:p>
    <w:p>
      <w:pPr>
        <w:pStyle w:val="PR2"/>
        <w:numPr>
          <w:ilvl w:val="5"/>
          <w:numId w:val="1"/>
        </w:numPr>
        <w:rPr/>
      </w:pPr>
      <w:r>
        <w:rPr/>
        <w:t xml:space="preserve">Hot-Weather Requirements: Comply with hot-weather construction requirements contained in ACI 530.1/ASCE 6/TMS 602. Provide artificial shade and windbreaks, and use cooled materials as required. Do not apply mortar to substrates with temperatures of </w:t>
      </w:r>
      <w:r>
        <w:rPr>
          <w:rStyle w:val="IP"/>
        </w:rPr>
        <w:t>100 deg F</w:t>
      </w:r>
      <w:r>
        <w:rPr>
          <w:rStyle w:val="SI"/>
        </w:rPr>
        <w:t xml:space="preserve"> (38 deg C)</w:t>
      </w:r>
      <w:r>
        <w:rPr/>
        <w:t xml:space="preserve"> and higher.</w:t>
      </w:r>
    </w:p>
    <w:p>
      <w:pPr>
        <w:pStyle w:val="PR3"/>
        <w:numPr>
          <w:ilvl w:val="6"/>
          <w:numId w:val="1"/>
        </w:numPr>
        <w:spacing w:before="240" w:after="0"/>
        <w:rPr/>
      </w:pPr>
      <w:r>
        <w:rPr/>
        <w:t xml:space="preserve">When ambient temperature exceeds </w:t>
      </w:r>
      <w:r>
        <w:rPr>
          <w:rStyle w:val="IP"/>
        </w:rPr>
        <w:t>100 deg F</w:t>
      </w:r>
      <w:r>
        <w:rPr>
          <w:rStyle w:val="SI"/>
        </w:rPr>
        <w:t xml:space="preserve"> (38 deg C)</w:t>
      </w:r>
      <w:r>
        <w:rPr/>
        <w:t xml:space="preserve">, or when wind velocity exceeds </w:t>
      </w:r>
      <w:r>
        <w:rPr>
          <w:rStyle w:val="IP"/>
        </w:rPr>
        <w:t>8 mph</w:t>
      </w:r>
      <w:r>
        <w:rPr>
          <w:rStyle w:val="SI"/>
        </w:rPr>
        <w:t xml:space="preserve"> (13 km/h)</w:t>
      </w:r>
      <w:r>
        <w:rPr/>
        <w:t xml:space="preserve"> and ambient temperature exceeds </w:t>
      </w:r>
      <w:r>
        <w:rPr>
          <w:rStyle w:val="IP"/>
        </w:rPr>
        <w:t>90 deg F</w:t>
      </w:r>
      <w:r>
        <w:rPr>
          <w:rStyle w:val="SI"/>
        </w:rPr>
        <w:t xml:space="preserve"> (32 deg C)</w:t>
      </w:r>
      <w:r>
        <w:rPr/>
        <w:t>, set unit pavers within 1 minute of spreading setting-bed mortar.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tactile warning surfaces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Deterioration of finishes beyond normal weathering and wear.</w:t>
      </w:r>
    </w:p>
    <w:p>
      <w:pPr>
        <w:pStyle w:val="PR3"/>
        <w:numPr>
          <w:ilvl w:val="6"/>
          <w:numId w:val="1"/>
        </w:numPr>
        <w:rPr/>
      </w:pPr>
      <w:r>
        <w:rPr/>
        <w:t>Separation or delamination of materials and components.</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TACTILE WARNING SURFACING, GENERAL</w:t>
      </w:r>
    </w:p>
    <w:p>
      <w:pPr>
        <w:pStyle w:val="CMT"/>
        <w:rPr/>
      </w:pPr>
      <w:r>
        <w:rPr/>
        <w:t>Verify accessibility requirements with authorities having jurisdiction. Some projects may require compliance with multiple accessibility regulations.</w:t>
      </w:r>
    </w:p>
    <w:p>
      <w:pPr>
        <w:pStyle w:val="PR1"/>
        <w:numPr>
          <w:ilvl w:val="4"/>
          <w:numId w:val="1"/>
        </w:numPr>
        <w:rPr/>
      </w:pPr>
      <w:r>
        <w:rPr/>
        <w:t>Accessibility Requirements: Comply with applicable provisions in [</w:t>
      </w:r>
      <w:r>
        <w:rPr>
          <w:b/>
        </w:rPr>
        <w:t>the U.S. Architectural &amp; Transportation Barriers Compliance Board's ADA-ABA Accessibility Guidelines for Buildings and Facilities</w:t>
      </w:r>
      <w:r>
        <w:rPr/>
        <w:t>] [</w:t>
      </w:r>
      <w:r>
        <w:rPr>
          <w:b/>
        </w:rPr>
        <w:t>and</w:t>
      </w:r>
      <w:r>
        <w:rPr/>
        <w:t>] [</w:t>
      </w:r>
      <w:r>
        <w:rPr>
          <w:b/>
        </w:rPr>
        <w:t>ICC A117.1</w:t>
      </w:r>
      <w:r>
        <w:rPr/>
        <w:t>] for tactile warning surfaces.</w:t>
      </w:r>
    </w:p>
    <w:p>
      <w:pPr>
        <w:pStyle w:val="PR2"/>
        <w:numPr>
          <w:ilvl w:val="5"/>
          <w:numId w:val="1"/>
        </w:numPr>
        <w:spacing w:before="240" w:after="0"/>
        <w:rPr/>
      </w:pPr>
      <w:r>
        <w:rPr/>
        <w:t>For tactile warning surfaces composed of multiple units, provide units that when installed provide consistent side-to-side and end-to-end dome spacing that complies with requirements.</w:t>
      </w:r>
    </w:p>
    <w:p>
      <w:pPr>
        <w:pStyle w:val="PR1"/>
        <w:numPr>
          <w:ilvl w:val="4"/>
          <w:numId w:val="1"/>
        </w:numPr>
        <w:rPr/>
      </w:pPr>
      <w:hyperlink r:id="rId6">
        <w:r>
          <w:rPr>
            <w:rStyle w:val="Hyperlink"/>
          </w:rPr>
          <w:t>&lt;Double click to insert sustainable design text for recycled content.&gt;</w:t>
        </w:r>
      </w:hyperlink>
    </w:p>
    <w:p>
      <w:pPr>
        <w:pStyle w:val="PR1"/>
        <w:numPr>
          <w:ilvl w:val="4"/>
          <w:numId w:val="1"/>
        </w:numPr>
        <w:rPr/>
      </w:pPr>
      <w:hyperlink r:id="rId7">
        <w:r>
          <w:rPr>
            <w:rStyle w:val="Hyperlink"/>
          </w:rPr>
          <w:t>&lt;Double click to insert sustainable design text for regional materials.&gt;</w:t>
        </w:r>
      </w:hyperlink>
    </w:p>
    <w:p>
      <w:pPr>
        <w:pStyle w:val="PR1"/>
        <w:numPr>
          <w:ilvl w:val="4"/>
          <w:numId w:val="1"/>
        </w:numPr>
        <w:rPr/>
      </w:pPr>
      <w:r>
        <w:rPr/>
        <w:t>Source Limitations: Obtain each type of tactile warning surfacing[</w:t>
      </w:r>
      <w:r>
        <w:rPr>
          <w:b/>
        </w:rPr>
        <w:t>, joint material</w:t>
      </w:r>
      <w:r>
        <w:rPr/>
        <w:t>] [</w:t>
      </w:r>
      <w:r>
        <w:rPr>
          <w:b/>
        </w:rPr>
        <w:t>, setting material</w:t>
      </w:r>
      <w:r>
        <w:rPr/>
        <w:t>] [</w:t>
      </w:r>
      <w:r>
        <w:rPr>
          <w:b/>
        </w:rPr>
        <w:t>, anchor</w:t>
      </w:r>
      <w:r>
        <w:rPr/>
        <w:t>] [</w:t>
      </w:r>
      <w:r>
        <w:rPr>
          <w:b/>
        </w:rPr>
        <w:t>, and</w:t>
      </w:r>
      <w:r>
        <w:rPr/>
        <w:t>] [</w:t>
      </w:r>
      <w:r>
        <w:rPr>
          <w:b/>
        </w:rPr>
        <w:t>fastener</w:t>
      </w:r>
      <w:r>
        <w:rPr/>
        <w:t>] from single source with resources to provide materials and products of consistent quality in appearance and physical properties.</w:t>
      </w:r>
    </w:p>
    <w:p>
      <w:pPr>
        <w:pStyle w:val="ART"/>
        <w:numPr>
          <w:ilvl w:val="3"/>
          <w:numId w:val="1"/>
        </w:numPr>
        <w:ind w:hanging="0" w:left="0"/>
        <w:rPr/>
      </w:pPr>
      <w:r>
        <w:rPr/>
        <w:t>DETECTABLE WARNING TILES</w:t>
      </w:r>
    </w:p>
    <w:p>
      <w:pPr>
        <w:pStyle w:val="CMT"/>
        <w:rPr/>
      </w:pPr>
      <w:r>
        <w:rPr/>
        <w:t>Retain "Cast-in-Place Detectable Warning Tiles" Paragraph below for detectable warning tiles composed of cast polymer or molded plastic set in wet concrete or adhered to recess in cured concrete. Retain option for tiles with permanently embedded anchors and replaceable surface; verify availability with manufacturer.</w:t>
      </w:r>
    </w:p>
    <w:p>
      <w:pPr>
        <w:pStyle w:val="PR1"/>
        <w:numPr>
          <w:ilvl w:val="4"/>
          <w:numId w:val="1"/>
        </w:numPr>
        <w:rPr/>
      </w:pPr>
      <w:r>
        <w:rPr/>
        <w:t>Cast-in-Place Detectable Warning Tiles: Accessible truncated-dome detectable warning tiles[</w:t>
      </w:r>
      <w:r>
        <w:rPr>
          <w:b/>
        </w:rPr>
        <w:t> with replaceable surface</w:t>
      </w:r>
      <w:r>
        <w:rPr/>
        <w:t>] configured for setting flush in new concrete walkway surfaces, with slip-resistant surface treatment on domes and field of tile.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Second option in "Material" Subparagraph below corresponds to product offered by ADA Solutions and AlertTile.</w:t>
      </w:r>
    </w:p>
    <w:p>
      <w:pPr>
        <w:pStyle w:val="PR2"/>
        <w:numPr>
          <w:ilvl w:val="5"/>
          <w:numId w:val="1"/>
        </w:numPr>
        <w:rPr/>
      </w:pPr>
      <w:r>
        <w:rPr/>
        <w:t>Material: [</w:t>
      </w:r>
      <w:r>
        <w:rPr>
          <w:b/>
        </w:rPr>
        <w:t>Cast-fiber-reinforced polymer concrete tile</w:t>
      </w:r>
      <w:r>
        <w:rPr/>
        <w:t>] [</w:t>
      </w:r>
      <w:r>
        <w:rPr>
          <w:b/>
        </w:rPr>
        <w:t>Molded glass- and carbon-fiber-reinforced polyester</w:t>
      </w:r>
      <w:r>
        <w:rPr/>
        <w:t>].</w:t>
      </w:r>
    </w:p>
    <w:p>
      <w:pPr>
        <w:pStyle w:val="PR2"/>
        <w:numPr>
          <w:ilvl w:val="5"/>
          <w:numId w:val="1"/>
        </w:numPr>
        <w:rPr/>
      </w:pPr>
      <w:r>
        <w:rPr/>
        <w:t>Color: [</w:t>
      </w:r>
      <w:r>
        <w:rPr>
          <w:b/>
        </w:rPr>
        <w:t>Safety yellow</w:t>
      </w:r>
      <w:r>
        <w:rPr/>
        <w:t>] [</w:t>
      </w:r>
      <w:r>
        <w:rPr>
          <w:b/>
        </w:rPr>
        <w:t>Red brick</w:t>
      </w:r>
      <w:r>
        <w:rPr/>
        <w:t>] [</w:t>
      </w:r>
      <w:r>
        <w:rPr>
          <w:b/>
        </w:rPr>
        <w:t>Black</w:t>
      </w:r>
      <w:r>
        <w:rPr/>
        <w:t>] [</w:t>
      </w:r>
      <w:r>
        <w:rPr>
          <w:b/>
        </w:rPr>
        <w:t>Gray</w:t>
      </w:r>
      <w:r>
        <w:rPr/>
        <w:t>] [</w:t>
      </w:r>
      <w:r>
        <w:rPr>
          <w:b/>
        </w:rPr>
        <w:t>As selected by Architect from manufacturer's full line</w:t>
      </w:r>
      <w:r>
        <w:rPr/>
        <w:t>].</w:t>
      </w:r>
    </w:p>
    <w:p>
      <w:pPr>
        <w:pStyle w:val="CMT"/>
        <w:rPr/>
      </w:pPr>
      <w:r>
        <w:rPr/>
        <w:t>Verify shapes and sizes available from manufacturers.</w:t>
      </w:r>
    </w:p>
    <w:p>
      <w:pPr>
        <w:pStyle w:val="PR2"/>
        <w:numPr>
          <w:ilvl w:val="5"/>
          <w:numId w:val="1"/>
        </w:numPr>
        <w:rPr/>
      </w:pPr>
      <w:r>
        <w:rPr/>
        <w:t>Shapes and Sizes:</w:t>
      </w:r>
    </w:p>
    <w:p>
      <w:pPr>
        <w:pStyle w:val="PR3"/>
        <w:numPr>
          <w:ilvl w:val="6"/>
          <w:numId w:val="1"/>
        </w:numPr>
        <w:spacing w:before="240" w:after="0"/>
        <w:rPr/>
      </w:pPr>
      <w:r>
        <w:rPr/>
        <w:t>Rectangular panel, [</w:t>
      </w:r>
      <w:r>
        <w:rPr>
          <w:rStyle w:val="IP"/>
          <w:b/>
        </w:rPr>
        <w:t>12 by 12 inches</w:t>
      </w:r>
      <w:r>
        <w:rPr>
          <w:rStyle w:val="SI"/>
          <w:b/>
        </w:rPr>
        <w:t xml:space="preserve"> (305 by 305 mm)</w:t>
      </w:r>
      <w:r>
        <w:rPr/>
        <w:t>] [</w:t>
      </w:r>
      <w:r>
        <w:rPr>
          <w:rStyle w:val="IP"/>
          <w:b/>
        </w:rPr>
        <w:t>24 by 24 inches</w:t>
      </w:r>
      <w:r>
        <w:rPr>
          <w:rStyle w:val="SI"/>
          <w:b/>
        </w:rPr>
        <w:t xml:space="preserve"> (610 by 610 mm)</w:t>
      </w:r>
      <w:r>
        <w:rPr/>
        <w:t>] [</w:t>
      </w:r>
      <w:r>
        <w:rPr>
          <w:rStyle w:val="IP"/>
          <w:b/>
        </w:rPr>
        <w:t>24 by 36 inches</w:t>
      </w:r>
      <w:r>
        <w:rPr>
          <w:rStyle w:val="SI"/>
          <w:b/>
        </w:rPr>
        <w:t xml:space="preserve"> (610 by 914 mm)</w:t>
      </w:r>
      <w:r>
        <w:rPr/>
        <w:t>] [</w:t>
      </w:r>
      <w:r>
        <w:rPr>
          <w:rStyle w:val="IP"/>
          <w:b/>
        </w:rPr>
        <w:t>24 by 48 inches</w:t>
      </w:r>
      <w:r>
        <w:rPr>
          <w:rStyle w:val="SI"/>
          <w:b/>
        </w:rPr>
        <w:t xml:space="preserve"> (610 by 1219 mm)</w:t>
      </w:r>
      <w:r>
        <w:rPr/>
        <w:t>] [</w:t>
      </w:r>
      <w:r>
        <w:rPr>
          <w:rStyle w:val="IP"/>
          <w:b/>
        </w:rPr>
        <w:t>24 by 60 inches</w:t>
      </w:r>
      <w:r>
        <w:rPr>
          <w:rStyle w:val="SI"/>
          <w:b/>
        </w:rPr>
        <w:t xml:space="preserve"> (610 by 1524 mm)</w:t>
      </w:r>
      <w:r>
        <w:rPr/>
        <w:t>] [</w:t>
      </w:r>
      <w:r>
        <w:rPr>
          <w:rStyle w:val="IP"/>
          <w:b/>
        </w:rPr>
        <w:t>36 by 48 inches</w:t>
      </w:r>
      <w:r>
        <w:rPr>
          <w:rStyle w:val="SI"/>
          <w:b/>
        </w:rPr>
        <w:t xml:space="preserve"> (914 by 1219 mm)</w:t>
      </w:r>
      <w:r>
        <w:rPr/>
        <w:t>] [</w:t>
      </w:r>
      <w:r>
        <w:rPr>
          <w:rStyle w:val="IP"/>
          <w:b/>
        </w:rPr>
        <w:t>36 by 60 inches</w:t>
      </w:r>
      <w:r>
        <w:rPr>
          <w:rStyle w:val="SI"/>
          <w:b/>
        </w:rPr>
        <w:t xml:space="preserve"> (914 by 1524 mm)</w:t>
      </w:r>
      <w:r>
        <w:rPr/>
        <w:t>] &lt;</w:t>
      </w:r>
      <w:r>
        <w:rPr>
          <w:b/>
        </w:rPr>
        <w:t>Insert dimensions</w:t>
      </w:r>
      <w:r>
        <w:rPr/>
        <w:t>&gt;.</w:t>
      </w:r>
    </w:p>
    <w:p>
      <w:pPr>
        <w:pStyle w:val="PR3"/>
        <w:numPr>
          <w:ilvl w:val="6"/>
          <w:numId w:val="1"/>
        </w:numPr>
        <w:rPr/>
      </w:pPr>
      <w:r>
        <w:rPr/>
        <w:t xml:space="preserve">Radius panel, nominal </w:t>
      </w:r>
      <w:r>
        <w:rPr>
          <w:rStyle w:val="IP"/>
        </w:rPr>
        <w:t>24 inches</w:t>
      </w:r>
      <w:r>
        <w:rPr>
          <w:rStyle w:val="SI"/>
        </w:rPr>
        <w:t xml:space="preserve"> (610 mm)</w:t>
      </w:r>
      <w:r>
        <w:rPr/>
        <w:t xml:space="preserve"> deep by [</w:t>
      </w:r>
      <w:r>
        <w:rPr>
          <w:rStyle w:val="IP"/>
          <w:b/>
        </w:rPr>
        <w:t>6-foot</w:t>
      </w:r>
      <w:r>
        <w:rPr>
          <w:rStyle w:val="SI"/>
          <w:b/>
        </w:rPr>
        <w:t xml:space="preserve"> (1829-mm)</w:t>
      </w:r>
      <w:r>
        <w:rPr/>
        <w:t>] [</w:t>
      </w:r>
      <w:r>
        <w:rPr>
          <w:rStyle w:val="IP"/>
          <w:b/>
        </w:rPr>
        <w:t>8-foot</w:t>
      </w:r>
      <w:r>
        <w:rPr>
          <w:rStyle w:val="SI"/>
          <w:b/>
        </w:rPr>
        <w:t xml:space="preserve"> (2438-mm)</w:t>
      </w:r>
      <w:r>
        <w:rPr/>
        <w:t>] [</w:t>
      </w:r>
      <w:r>
        <w:rPr>
          <w:rStyle w:val="IP"/>
          <w:b/>
        </w:rPr>
        <w:t>10-foot</w:t>
      </w:r>
      <w:r>
        <w:rPr>
          <w:rStyle w:val="SI"/>
          <w:b/>
        </w:rPr>
        <w:t xml:space="preserve"> (3048-mm)</w:t>
      </w:r>
      <w:r>
        <w:rPr/>
        <w:t>] [</w:t>
      </w:r>
      <w:r>
        <w:rPr>
          <w:rStyle w:val="IP"/>
          <w:b/>
        </w:rPr>
        <w:t>12-foot</w:t>
      </w:r>
      <w:r>
        <w:rPr>
          <w:rStyle w:val="SI"/>
          <w:b/>
        </w:rPr>
        <w:t xml:space="preserve"> (3658-mm)</w:t>
      </w:r>
      <w:r>
        <w:rPr/>
        <w:t>] [</w:t>
      </w:r>
      <w:r>
        <w:rPr>
          <w:rStyle w:val="IP"/>
          <w:b/>
        </w:rPr>
        <w:t>15-foot</w:t>
      </w:r>
      <w:r>
        <w:rPr>
          <w:rStyle w:val="SI"/>
          <w:b/>
        </w:rPr>
        <w:t xml:space="preserve"> (4572-mm)</w:t>
      </w:r>
      <w:r>
        <w:rPr/>
        <w:t>] &lt;</w:t>
      </w:r>
      <w:r>
        <w:rPr>
          <w:b/>
        </w:rPr>
        <w:t>Insert dimension</w:t>
      </w:r>
      <w:r>
        <w:rPr/>
        <w:t>&gt; outside radius.</w:t>
      </w:r>
    </w:p>
    <w:p>
      <w:pPr>
        <w:pStyle w:val="CMT"/>
        <w:rPr/>
      </w:pPr>
      <w:r>
        <w:rPr/>
        <w:t>Some manufacturers offer options listed in "Dome Spacing and Configuration" Subparagraph below; verify availability with manufacturers. Revise if different spacing and configurations are required by local jurisdictions.</w:t>
      </w:r>
    </w:p>
    <w:p>
      <w:pPr>
        <w:pStyle w:val="PR2"/>
        <w:numPr>
          <w:ilvl w:val="5"/>
          <w:numId w:val="1"/>
        </w:numPr>
        <w:spacing w:before="240" w:after="0"/>
        <w:rPr/>
      </w:pPr>
      <w:r>
        <w:rPr/>
        <w:t>Dome Spacing and Configuration: [</w:t>
      </w:r>
      <w:r>
        <w:rPr>
          <w:rStyle w:val="IP"/>
          <w:b/>
        </w:rPr>
        <w:t>1.67-inch</w:t>
      </w:r>
      <w:r>
        <w:rPr>
          <w:rStyle w:val="SI"/>
          <w:b/>
        </w:rPr>
        <w:t xml:space="preserve"> (42.4-mm)</w:t>
      </w:r>
      <w:r>
        <w:rPr>
          <w:b/>
        </w:rPr>
        <w:t xml:space="preserve"> spacing</w:t>
      </w:r>
      <w:r>
        <w:rPr/>
        <w:t>] [</w:t>
      </w:r>
      <w:r>
        <w:rPr>
          <w:rStyle w:val="IP"/>
          <w:b/>
        </w:rPr>
        <w:t>2.35-inch</w:t>
      </w:r>
      <w:r>
        <w:rPr>
          <w:rStyle w:val="SI"/>
          <w:b/>
        </w:rPr>
        <w:t xml:space="preserve"> (59.7-mm)</w:t>
      </w:r>
      <w:r>
        <w:rPr>
          <w:b/>
        </w:rPr>
        <w:t xml:space="preserve"> spacing</w:t>
      </w:r>
      <w:r>
        <w:rPr/>
        <w:t>] [</w:t>
      </w:r>
      <w:r>
        <w:rPr>
          <w:b/>
        </w:rPr>
        <w:t>Manufacturer's standard compliant spacing</w:t>
      </w:r>
      <w:r>
        <w:rPr/>
        <w:t>] &lt;</w:t>
      </w:r>
      <w:r>
        <w:rPr>
          <w:b/>
        </w:rPr>
        <w:t>Insert spacing</w:t>
      </w:r>
      <w:r>
        <w:rPr/>
        <w:t>&gt;, in [</w:t>
      </w:r>
      <w:r>
        <w:rPr>
          <w:b/>
        </w:rPr>
        <w:t>square</w:t>
      </w:r>
      <w:r>
        <w:rPr/>
        <w:t>] [</w:t>
      </w:r>
      <w:r>
        <w:rPr>
          <w:b/>
        </w:rPr>
        <w:t>diamond</w:t>
      </w:r>
      <w:r>
        <w:rPr/>
        <w:t>] [</w:t>
      </w:r>
      <w:r>
        <w:rPr>
          <w:b/>
        </w:rPr>
        <w:t>manufacturer's standard</w:t>
      </w:r>
      <w:r>
        <w:rPr/>
        <w:t>] pattern.</w:t>
      </w:r>
    </w:p>
    <w:p>
      <w:pPr>
        <w:pStyle w:val="PR2"/>
        <w:numPr>
          <w:ilvl w:val="5"/>
          <w:numId w:val="1"/>
        </w:numPr>
        <w:rPr/>
      </w:pPr>
      <w:r>
        <w:rPr/>
        <w:t>Mounting:</w:t>
      </w:r>
    </w:p>
    <w:p>
      <w:pPr>
        <w:pStyle w:val="CMT"/>
        <w:rPr/>
      </w:pPr>
      <w:r>
        <w:rPr/>
        <w:t>Retain one of three subparagraphs below.</w:t>
      </w:r>
    </w:p>
    <w:p>
      <w:pPr>
        <w:pStyle w:val="PR3"/>
        <w:numPr>
          <w:ilvl w:val="6"/>
          <w:numId w:val="1"/>
        </w:numPr>
        <w:spacing w:before="240" w:after="0"/>
        <w:rPr/>
      </w:pPr>
      <w:r>
        <w:rPr/>
        <w:t>Permanently embedded detectable warning tile wet-set into freshly poured concrete.</w:t>
      </w:r>
    </w:p>
    <w:p>
      <w:pPr>
        <w:pStyle w:val="PR3"/>
        <w:numPr>
          <w:ilvl w:val="6"/>
          <w:numId w:val="1"/>
        </w:numPr>
        <w:rPr/>
      </w:pPr>
      <w:r>
        <w:rPr/>
        <w:t>Detectable warning tile set into formed recess in concrete and adhered with [</w:t>
      </w:r>
      <w:r>
        <w:rPr>
          <w:b/>
        </w:rPr>
        <w:t>mortar</w:t>
      </w:r>
      <w:r>
        <w:rPr/>
        <w:t>] [</w:t>
      </w:r>
      <w:r>
        <w:rPr>
          <w:b/>
        </w:rPr>
        <w:t>adhesive</w:t>
      </w:r>
      <w:r>
        <w:rPr/>
        <w:t>].</w:t>
      </w:r>
    </w:p>
    <w:p>
      <w:pPr>
        <w:pStyle w:val="PR3"/>
        <w:numPr>
          <w:ilvl w:val="6"/>
          <w:numId w:val="1"/>
        </w:numPr>
        <w:rPr/>
      </w:pPr>
      <w:r>
        <w:rPr/>
        <w:t>Replaceable detectable warning tile wet-set into freshly poured concrete and surface-fastened to permanently embedded anchors.</w:t>
      </w:r>
    </w:p>
    <w:p>
      <w:pPr>
        <w:pStyle w:val="CMT"/>
        <w:rPr/>
      </w:pPr>
      <w:r>
        <w:rPr/>
        <w:t>Retain "Surface-Applied Detectable Warning Tiles" Paragraph below for cast-polymer or molded-plastic detectable warning tiles adhered and fastened to existing concrete paving.</w:t>
      </w:r>
    </w:p>
    <w:p>
      <w:pPr>
        <w:pStyle w:val="PR1"/>
        <w:numPr>
          <w:ilvl w:val="4"/>
          <w:numId w:val="1"/>
        </w:numPr>
        <w:rPr/>
      </w:pPr>
      <w:r>
        <w:rPr/>
        <w:t>Surface-Applied Detectable Warning Tiles: Accessible truncated-dome detectable warning concrete tiles configured for surface application on existing concrete walkway surfaces, with slip-resistant surface treatment on domes, field of tile, and beveled outside edges.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Second option in "Material" Subparagraph below corresponds to products offered by ADA Solutions and AlertTile.</w:t>
      </w:r>
    </w:p>
    <w:p>
      <w:pPr>
        <w:pStyle w:val="PR2"/>
        <w:numPr>
          <w:ilvl w:val="5"/>
          <w:numId w:val="1"/>
        </w:numPr>
        <w:rPr/>
      </w:pPr>
      <w:r>
        <w:rPr/>
        <w:t>Material: [</w:t>
      </w:r>
      <w:r>
        <w:rPr>
          <w:b/>
        </w:rPr>
        <w:t>Cast-fiber-reinforced polymer concrete tile</w:t>
      </w:r>
      <w:r>
        <w:rPr/>
        <w:t>] [</w:t>
      </w:r>
      <w:r>
        <w:rPr>
          <w:b/>
        </w:rPr>
        <w:t>Molded glass- and carbon-fiber-reinforced polyester</w:t>
      </w:r>
      <w:r>
        <w:rPr/>
        <w:t>].</w:t>
      </w:r>
    </w:p>
    <w:p>
      <w:pPr>
        <w:pStyle w:val="PR2"/>
        <w:numPr>
          <w:ilvl w:val="5"/>
          <w:numId w:val="1"/>
        </w:numPr>
        <w:rPr/>
      </w:pPr>
      <w:r>
        <w:rPr/>
        <w:t>Color: [</w:t>
      </w:r>
      <w:r>
        <w:rPr>
          <w:b/>
        </w:rPr>
        <w:t>Safety yellow</w:t>
      </w:r>
      <w:r>
        <w:rPr/>
        <w:t>] [</w:t>
      </w:r>
      <w:r>
        <w:rPr>
          <w:b/>
        </w:rPr>
        <w:t>Red brick</w:t>
      </w:r>
      <w:r>
        <w:rPr/>
        <w:t>] [</w:t>
      </w:r>
      <w:r>
        <w:rPr>
          <w:b/>
        </w:rPr>
        <w:t>Black</w:t>
      </w:r>
      <w:r>
        <w:rPr/>
        <w:t>] [</w:t>
      </w:r>
      <w:r>
        <w:rPr>
          <w:b/>
        </w:rPr>
        <w:t>Gray</w:t>
      </w:r>
      <w:r>
        <w:rPr/>
        <w:t>] [</w:t>
      </w:r>
      <w:r>
        <w:rPr>
          <w:b/>
        </w:rPr>
        <w:t>As selected by Architect from manufacturer's full line</w:t>
      </w:r>
      <w:r>
        <w:rPr/>
        <w:t>].</w:t>
      </w:r>
    </w:p>
    <w:p>
      <w:pPr>
        <w:pStyle w:val="CMT"/>
        <w:rPr/>
      </w:pPr>
      <w:r>
        <w:rPr/>
        <w:t>Verify shapes and sizes available from manufacturers.</w:t>
      </w:r>
    </w:p>
    <w:p>
      <w:pPr>
        <w:pStyle w:val="PR2"/>
        <w:numPr>
          <w:ilvl w:val="5"/>
          <w:numId w:val="1"/>
        </w:numPr>
        <w:rPr/>
      </w:pPr>
      <w:r>
        <w:rPr/>
        <w:t>Shapes and Sizes:</w:t>
      </w:r>
    </w:p>
    <w:p>
      <w:pPr>
        <w:pStyle w:val="PR3"/>
        <w:numPr>
          <w:ilvl w:val="6"/>
          <w:numId w:val="1"/>
        </w:numPr>
        <w:spacing w:before="240" w:after="0"/>
        <w:rPr/>
      </w:pPr>
      <w:r>
        <w:rPr/>
        <w:t>Rectangular panel, [</w:t>
      </w:r>
      <w:r>
        <w:rPr>
          <w:rStyle w:val="IP"/>
          <w:b/>
        </w:rPr>
        <w:t>12 by 12 inches</w:t>
      </w:r>
      <w:r>
        <w:rPr>
          <w:rStyle w:val="SI"/>
          <w:b/>
        </w:rPr>
        <w:t xml:space="preserve"> (305 by 305 mm)</w:t>
      </w:r>
      <w:r>
        <w:rPr/>
        <w:t>] [</w:t>
      </w:r>
      <w:r>
        <w:rPr>
          <w:rStyle w:val="IP"/>
          <w:b/>
        </w:rPr>
        <w:t>24 by 24 inches</w:t>
      </w:r>
      <w:r>
        <w:rPr>
          <w:rStyle w:val="SI"/>
          <w:b/>
        </w:rPr>
        <w:t xml:space="preserve"> (610 by 610 mm)</w:t>
      </w:r>
      <w:r>
        <w:rPr/>
        <w:t>] [</w:t>
      </w:r>
      <w:r>
        <w:rPr>
          <w:rStyle w:val="IP"/>
          <w:b/>
        </w:rPr>
        <w:t>24 by 36 inches</w:t>
      </w:r>
      <w:r>
        <w:rPr>
          <w:rStyle w:val="SI"/>
          <w:b/>
        </w:rPr>
        <w:t xml:space="preserve"> (610 by 914 mm)</w:t>
      </w:r>
      <w:r>
        <w:rPr/>
        <w:t>] [</w:t>
      </w:r>
      <w:r>
        <w:rPr>
          <w:rStyle w:val="IP"/>
          <w:b/>
        </w:rPr>
        <w:t>24 by 48 inches</w:t>
      </w:r>
      <w:r>
        <w:rPr>
          <w:rStyle w:val="SI"/>
          <w:b/>
        </w:rPr>
        <w:t xml:space="preserve"> (610 by 1219 mm)</w:t>
      </w:r>
      <w:r>
        <w:rPr/>
        <w:t>] [</w:t>
      </w:r>
      <w:r>
        <w:rPr>
          <w:rStyle w:val="IP"/>
          <w:b/>
        </w:rPr>
        <w:t>24 by 60 inches</w:t>
      </w:r>
      <w:r>
        <w:rPr>
          <w:rStyle w:val="SI"/>
          <w:b/>
        </w:rPr>
        <w:t xml:space="preserve"> (610 by 1524 mm)</w:t>
      </w:r>
      <w:r>
        <w:rPr/>
        <w:t>] [</w:t>
      </w:r>
      <w:r>
        <w:rPr>
          <w:rStyle w:val="IP"/>
          <w:b/>
        </w:rPr>
        <w:t>36 by 48 inches</w:t>
      </w:r>
      <w:r>
        <w:rPr>
          <w:rStyle w:val="SI"/>
          <w:b/>
        </w:rPr>
        <w:t xml:space="preserve"> (914 by 1219 mm)</w:t>
      </w:r>
      <w:r>
        <w:rPr/>
        <w:t>] [</w:t>
      </w:r>
      <w:r>
        <w:rPr>
          <w:rStyle w:val="IP"/>
          <w:b/>
        </w:rPr>
        <w:t>36 by 60 inches</w:t>
      </w:r>
      <w:r>
        <w:rPr>
          <w:rStyle w:val="SI"/>
          <w:b/>
        </w:rPr>
        <w:t xml:space="preserve"> (914 by 1524 mm)</w:t>
      </w:r>
      <w:r>
        <w:rPr/>
        <w:t>] &lt;</w:t>
      </w:r>
      <w:r>
        <w:rPr>
          <w:b/>
        </w:rPr>
        <w:t>Insert dimensions</w:t>
      </w:r>
      <w:r>
        <w:rPr/>
        <w:t>&gt;.</w:t>
      </w:r>
    </w:p>
    <w:p>
      <w:pPr>
        <w:pStyle w:val="PR3"/>
        <w:numPr>
          <w:ilvl w:val="6"/>
          <w:numId w:val="1"/>
        </w:numPr>
        <w:rPr/>
      </w:pPr>
      <w:r>
        <w:rPr/>
        <w:t xml:space="preserve">Radius panel, nominal </w:t>
      </w:r>
      <w:r>
        <w:rPr>
          <w:rStyle w:val="IP"/>
        </w:rPr>
        <w:t>24 inches</w:t>
      </w:r>
      <w:r>
        <w:rPr>
          <w:rStyle w:val="SI"/>
        </w:rPr>
        <w:t xml:space="preserve"> (610 mm)</w:t>
      </w:r>
      <w:r>
        <w:rPr/>
        <w:t xml:space="preserve"> deep by [</w:t>
      </w:r>
      <w:r>
        <w:rPr>
          <w:rStyle w:val="IP"/>
          <w:b/>
        </w:rPr>
        <w:t>6-foot</w:t>
      </w:r>
      <w:r>
        <w:rPr>
          <w:rStyle w:val="SI"/>
          <w:b/>
        </w:rPr>
        <w:t xml:space="preserve"> (1829-mm)</w:t>
      </w:r>
      <w:r>
        <w:rPr/>
        <w:t>] [</w:t>
      </w:r>
      <w:r>
        <w:rPr>
          <w:rStyle w:val="IP"/>
          <w:b/>
        </w:rPr>
        <w:t>8-foot</w:t>
      </w:r>
      <w:r>
        <w:rPr>
          <w:rStyle w:val="SI"/>
          <w:b/>
        </w:rPr>
        <w:t xml:space="preserve"> (2438-mm)</w:t>
      </w:r>
      <w:r>
        <w:rPr/>
        <w:t>] [</w:t>
      </w:r>
      <w:r>
        <w:rPr>
          <w:rStyle w:val="IP"/>
          <w:b/>
        </w:rPr>
        <w:t>10-foot</w:t>
      </w:r>
      <w:r>
        <w:rPr>
          <w:rStyle w:val="SI"/>
          <w:b/>
        </w:rPr>
        <w:t xml:space="preserve"> (3048-mm)</w:t>
      </w:r>
      <w:r>
        <w:rPr/>
        <w:t>] [</w:t>
      </w:r>
      <w:r>
        <w:rPr>
          <w:rStyle w:val="IP"/>
          <w:b/>
        </w:rPr>
        <w:t>12-foot</w:t>
      </w:r>
      <w:r>
        <w:rPr>
          <w:rStyle w:val="SI"/>
          <w:b/>
        </w:rPr>
        <w:t xml:space="preserve"> (3658-mm)</w:t>
      </w:r>
      <w:r>
        <w:rPr/>
        <w:t>] [</w:t>
      </w:r>
      <w:r>
        <w:rPr>
          <w:rStyle w:val="IP"/>
          <w:b/>
        </w:rPr>
        <w:t>15-foot</w:t>
      </w:r>
      <w:r>
        <w:rPr>
          <w:rStyle w:val="SI"/>
          <w:b/>
        </w:rPr>
        <w:t xml:space="preserve"> (4572-mm)</w:t>
      </w:r>
      <w:r>
        <w:rPr/>
        <w:t>] &lt;</w:t>
      </w:r>
      <w:r>
        <w:rPr>
          <w:b/>
        </w:rPr>
        <w:t>Insert dimension</w:t>
      </w:r>
      <w:r>
        <w:rPr/>
        <w:t>&gt; outside radius.</w:t>
      </w:r>
    </w:p>
    <w:p>
      <w:pPr>
        <w:pStyle w:val="CMT"/>
        <w:rPr/>
      </w:pPr>
      <w:r>
        <w:rPr/>
        <w:t>Some manufacturers offer options listed in "Dome Spacing and Configuration" Subparagraph below; verify availability with manufacturers. Revise if different spacing and configurations are required by local jurisdictions.</w:t>
      </w:r>
    </w:p>
    <w:p>
      <w:pPr>
        <w:pStyle w:val="PR2"/>
        <w:numPr>
          <w:ilvl w:val="5"/>
          <w:numId w:val="1"/>
        </w:numPr>
        <w:spacing w:before="240" w:after="0"/>
        <w:rPr/>
      </w:pPr>
      <w:r>
        <w:rPr/>
        <w:t>Dome Spacing and Configuration: [</w:t>
      </w:r>
      <w:r>
        <w:rPr>
          <w:rStyle w:val="IP"/>
          <w:b/>
        </w:rPr>
        <w:t>1.67-inch</w:t>
      </w:r>
      <w:r>
        <w:rPr>
          <w:rStyle w:val="SI"/>
          <w:b/>
        </w:rPr>
        <w:t xml:space="preserve"> (42.4-mm)</w:t>
      </w:r>
      <w:r>
        <w:rPr>
          <w:b/>
        </w:rPr>
        <w:t xml:space="preserve"> spacing</w:t>
      </w:r>
      <w:r>
        <w:rPr/>
        <w:t>] [</w:t>
      </w:r>
      <w:r>
        <w:rPr>
          <w:rStyle w:val="IP"/>
          <w:b/>
        </w:rPr>
        <w:t>2.35-inch</w:t>
      </w:r>
      <w:r>
        <w:rPr>
          <w:rStyle w:val="SI"/>
          <w:b/>
        </w:rPr>
        <w:t xml:space="preserve"> (59.7-mm)</w:t>
      </w:r>
      <w:r>
        <w:rPr>
          <w:b/>
        </w:rPr>
        <w:t xml:space="preserve"> spacing</w:t>
      </w:r>
      <w:r>
        <w:rPr/>
        <w:t>] [</w:t>
      </w:r>
      <w:r>
        <w:rPr>
          <w:b/>
        </w:rPr>
        <w:t>Manufacturer's standard compliant spacing</w:t>
      </w:r>
      <w:r>
        <w:rPr/>
        <w:t>] &lt;</w:t>
      </w:r>
      <w:r>
        <w:rPr>
          <w:b/>
        </w:rPr>
        <w:t>Insert spacing</w:t>
      </w:r>
      <w:r>
        <w:rPr/>
        <w:t>&gt;, in [</w:t>
      </w:r>
      <w:r>
        <w:rPr>
          <w:b/>
        </w:rPr>
        <w:t>square</w:t>
      </w:r>
      <w:r>
        <w:rPr/>
        <w:t>] [</w:t>
      </w:r>
      <w:r>
        <w:rPr>
          <w:b/>
        </w:rPr>
        <w:t>diamond</w:t>
      </w:r>
      <w:r>
        <w:rPr/>
        <w:t>] [</w:t>
      </w:r>
      <w:r>
        <w:rPr>
          <w:b/>
        </w:rPr>
        <w:t>manufacturer's standard</w:t>
      </w:r>
      <w:r>
        <w:rPr/>
        <w:t>] pattern.</w:t>
      </w:r>
    </w:p>
    <w:p>
      <w:pPr>
        <w:pStyle w:val="PR2"/>
        <w:numPr>
          <w:ilvl w:val="5"/>
          <w:numId w:val="1"/>
        </w:numPr>
        <w:rPr/>
      </w:pPr>
      <w:r>
        <w:rPr/>
        <w:t>Mounting: Adhered[</w:t>
      </w:r>
      <w:r>
        <w:rPr>
          <w:b/>
        </w:rPr>
        <w:t> and fastened</w:t>
      </w:r>
      <w:r>
        <w:rPr/>
        <w:t>] to existing concrete walkway.</w:t>
      </w:r>
    </w:p>
    <w:p>
      <w:pPr>
        <w:pStyle w:val="CMT"/>
        <w:rPr/>
      </w:pPr>
      <w:r>
        <w:rPr/>
        <w:t>Retain "Cast-in-Place Detectable Warning Metal Tiles" Paragraph below for formed- or cast-stainless-steel or cast-iron detectable warning tiles wet-set in concrete or adhered to recess in cured concrete. Retain option for tiles with permanently embedded anchors and replaceable surface; verify availability with manufacturer.</w:t>
      </w:r>
    </w:p>
    <w:p>
      <w:pPr>
        <w:pStyle w:val="PR1"/>
        <w:numPr>
          <w:ilvl w:val="4"/>
          <w:numId w:val="1"/>
        </w:numPr>
        <w:rPr/>
      </w:pPr>
      <w:r>
        <w:rPr/>
        <w:t>Cast-in-Place Detectable Warning Metal Tiles: Accessible truncated-dome detectable warning metal tiles[</w:t>
      </w:r>
      <w:r>
        <w:rPr>
          <w:b/>
        </w:rPr>
        <w:t> with replaceable surface</w:t>
      </w:r>
      <w:r>
        <w:rPr/>
        <w:t>] configured for setting flush in new concrete walkway surfaces, with slip-resistant surface treatment on domes and field of tile.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Material:</w:t>
      </w:r>
    </w:p>
    <w:p>
      <w:pPr>
        <w:pStyle w:val="PR3"/>
        <w:numPr>
          <w:ilvl w:val="6"/>
          <w:numId w:val="1"/>
        </w:numPr>
        <w:spacing w:before="240" w:after="0"/>
        <w:rPr/>
      </w:pPr>
      <w:r>
        <w:rPr/>
        <w:t>Stainless-Steel Plate and Sheet: ASTM A 240/A 240M or ASTM A 666, [</w:t>
      </w:r>
      <w:r>
        <w:rPr>
          <w:b/>
        </w:rPr>
        <w:t>Type 304</w:t>
      </w:r>
      <w:r>
        <w:rPr/>
        <w:t>] [</w:t>
      </w:r>
      <w:r>
        <w:rPr>
          <w:b/>
        </w:rPr>
        <w:t>Type 316L</w:t>
      </w:r>
      <w:r>
        <w:rPr/>
        <w:t>].</w:t>
      </w:r>
    </w:p>
    <w:p>
      <w:pPr>
        <w:pStyle w:val="PR4"/>
        <w:numPr>
          <w:ilvl w:val="7"/>
          <w:numId w:val="1"/>
        </w:numPr>
        <w:spacing w:before="240" w:after="0"/>
        <w:rPr/>
      </w:pPr>
      <w:r>
        <w:rPr/>
        <w:t>Finish and Color:</w:t>
      </w:r>
    </w:p>
    <w:p>
      <w:pPr>
        <w:pStyle w:val="PR5"/>
        <w:numPr>
          <w:ilvl w:val="8"/>
          <w:numId w:val="1"/>
        </w:numPr>
        <w:spacing w:before="240" w:after="0"/>
        <w:rPr/>
      </w:pPr>
      <w:r>
        <w:rPr/>
        <w:t>Manufacturer's standard powder coat, [</w:t>
      </w:r>
      <w:r>
        <w:rPr>
          <w:b/>
        </w:rPr>
        <w:t>safety yellow</w:t>
      </w:r>
      <w:r>
        <w:rPr/>
        <w:t>] [</w:t>
      </w:r>
      <w:r>
        <w:rPr>
          <w:b/>
        </w:rPr>
        <w:t>red brick</w:t>
      </w:r>
      <w:r>
        <w:rPr/>
        <w:t>] [</w:t>
      </w:r>
      <w:r>
        <w:rPr>
          <w:b/>
        </w:rPr>
        <w:t>black</w:t>
      </w:r>
      <w:r>
        <w:rPr/>
        <w:t>] [</w:t>
      </w:r>
      <w:r>
        <w:rPr>
          <w:b/>
        </w:rPr>
        <w:t>gray</w:t>
      </w:r>
      <w:r>
        <w:rPr/>
        <w:t>] [</w:t>
      </w:r>
      <w:r>
        <w:rPr>
          <w:b/>
        </w:rPr>
        <w:t>color as selected by Architect from manufacturer's full line</w:t>
      </w:r>
      <w:r>
        <w:rPr/>
        <w:t>].</w:t>
      </w:r>
    </w:p>
    <w:p>
      <w:pPr>
        <w:pStyle w:val="PR5"/>
        <w:numPr>
          <w:ilvl w:val="8"/>
          <w:numId w:val="1"/>
        </w:numPr>
        <w:rPr/>
      </w:pPr>
      <w:r>
        <w:rPr/>
        <w:t>Mill finish.</w:t>
      </w:r>
    </w:p>
    <w:p>
      <w:pPr>
        <w:pStyle w:val="CMT"/>
        <w:rPr/>
      </w:pPr>
      <w:r>
        <w:rPr/>
        <w:t>Retain "Cast Iron" Subparagraph below for detectable warning units made by East Jordan Iron Works or Neenah Foundry.</w:t>
      </w:r>
    </w:p>
    <w:p>
      <w:pPr>
        <w:pStyle w:val="PR3"/>
        <w:numPr>
          <w:ilvl w:val="6"/>
          <w:numId w:val="1"/>
        </w:numPr>
        <w:spacing w:before="240" w:after="0"/>
        <w:rPr/>
      </w:pPr>
      <w:r>
        <w:rPr/>
        <w:t>Cast Iron: Gray iron, ASTM A 48/A 48M, CL 35.</w:t>
      </w:r>
    </w:p>
    <w:p>
      <w:pPr>
        <w:pStyle w:val="CMT"/>
        <w:rPr/>
      </w:pPr>
      <w:r>
        <w:rPr/>
        <w:t>Verify shapes and sizes available from manufacturers.</w:t>
      </w:r>
    </w:p>
    <w:p>
      <w:pPr>
        <w:pStyle w:val="PR2"/>
        <w:numPr>
          <w:ilvl w:val="5"/>
          <w:numId w:val="1"/>
        </w:numPr>
        <w:spacing w:before="240" w:after="0"/>
        <w:rPr/>
      </w:pPr>
      <w:r>
        <w:rPr/>
        <w:t>Shapes and Sizes:</w:t>
      </w:r>
    </w:p>
    <w:p>
      <w:pPr>
        <w:pStyle w:val="PR3"/>
        <w:numPr>
          <w:ilvl w:val="6"/>
          <w:numId w:val="1"/>
        </w:numPr>
        <w:spacing w:before="240" w:after="0"/>
        <w:rPr/>
      </w:pPr>
      <w:r>
        <w:rPr/>
        <w:t>Rectangular panel, [</w:t>
      </w:r>
      <w:r>
        <w:rPr>
          <w:rStyle w:val="IP"/>
          <w:b/>
        </w:rPr>
        <w:t>12 by 12 inches</w:t>
      </w:r>
      <w:r>
        <w:rPr>
          <w:rStyle w:val="SI"/>
          <w:b/>
        </w:rPr>
        <w:t xml:space="preserve"> (305 by 305 mm)</w:t>
      </w:r>
      <w:r>
        <w:rPr/>
        <w:t>] [</w:t>
      </w:r>
      <w:r>
        <w:rPr>
          <w:rStyle w:val="IP"/>
          <w:b/>
        </w:rPr>
        <w:t>18 by 24 inches</w:t>
      </w:r>
      <w:r>
        <w:rPr>
          <w:rStyle w:val="SI"/>
          <w:b/>
        </w:rPr>
        <w:t xml:space="preserve"> (457 by 610 mm)</w:t>
      </w:r>
      <w:r>
        <w:rPr/>
        <w:t>] [</w:t>
      </w:r>
      <w:r>
        <w:rPr>
          <w:rStyle w:val="IP"/>
          <w:b/>
        </w:rPr>
        <w:t>24 by 24 inches</w:t>
      </w:r>
      <w:r>
        <w:rPr>
          <w:rStyle w:val="SI"/>
          <w:b/>
        </w:rPr>
        <w:t xml:space="preserve"> (610 by 610 mm)</w:t>
      </w:r>
      <w:r>
        <w:rPr/>
        <w:t>] [</w:t>
      </w:r>
      <w:r>
        <w:rPr>
          <w:rStyle w:val="IP"/>
          <w:b/>
        </w:rPr>
        <w:t>24 by 36 inches</w:t>
      </w:r>
      <w:r>
        <w:rPr>
          <w:rStyle w:val="SI"/>
          <w:b/>
        </w:rPr>
        <w:t xml:space="preserve"> (610 by 914 mm)</w:t>
      </w:r>
      <w:r>
        <w:rPr/>
        <w:t>] [</w:t>
      </w:r>
      <w:r>
        <w:rPr>
          <w:rStyle w:val="IP"/>
          <w:b/>
        </w:rPr>
        <w:t>24 by 48 inches</w:t>
      </w:r>
      <w:r>
        <w:rPr>
          <w:rStyle w:val="SI"/>
          <w:b/>
        </w:rPr>
        <w:t xml:space="preserve"> (610 by 1219 mm)</w:t>
      </w:r>
      <w:r>
        <w:rPr/>
        <w:t>] [</w:t>
      </w:r>
      <w:r>
        <w:rPr>
          <w:rStyle w:val="IP"/>
          <w:b/>
        </w:rPr>
        <w:t>24 by 60 inches</w:t>
      </w:r>
      <w:r>
        <w:rPr>
          <w:rStyle w:val="SI"/>
          <w:b/>
        </w:rPr>
        <w:t xml:space="preserve"> (610 by 1524 mm)</w:t>
      </w:r>
      <w:r>
        <w:rPr/>
        <w:t>] [</w:t>
      </w:r>
      <w:r>
        <w:rPr>
          <w:rStyle w:val="IP"/>
          <w:b/>
        </w:rPr>
        <w:t>36 by 48 inches</w:t>
      </w:r>
      <w:r>
        <w:rPr>
          <w:rStyle w:val="SI"/>
          <w:b/>
        </w:rPr>
        <w:t xml:space="preserve"> (914 by 1219 mm)</w:t>
      </w:r>
      <w:r>
        <w:rPr/>
        <w:t>] [</w:t>
      </w:r>
      <w:r>
        <w:rPr>
          <w:rStyle w:val="IP"/>
          <w:b/>
        </w:rPr>
        <w:t>36 by 60 inches</w:t>
      </w:r>
      <w:r>
        <w:rPr>
          <w:rStyle w:val="SI"/>
          <w:b/>
        </w:rPr>
        <w:t xml:space="preserve"> (914 by 1524 mm)</w:t>
      </w:r>
      <w:r>
        <w:rPr/>
        <w:t>] &lt;</w:t>
      </w:r>
      <w:r>
        <w:rPr>
          <w:b/>
        </w:rPr>
        <w:t>Insert dimensions</w:t>
      </w:r>
      <w:r>
        <w:rPr/>
        <w:t>&gt;.</w:t>
      </w:r>
    </w:p>
    <w:p>
      <w:pPr>
        <w:pStyle w:val="PR3"/>
        <w:numPr>
          <w:ilvl w:val="6"/>
          <w:numId w:val="1"/>
        </w:numPr>
        <w:rPr/>
      </w:pPr>
      <w:r>
        <w:rPr/>
        <w:t xml:space="preserve">Radius panel, nominal </w:t>
      </w:r>
      <w:r>
        <w:rPr>
          <w:rStyle w:val="IP"/>
        </w:rPr>
        <w:t>24 inches</w:t>
      </w:r>
      <w:r>
        <w:rPr>
          <w:rStyle w:val="SI"/>
        </w:rPr>
        <w:t xml:space="preserve"> (610 mm)</w:t>
      </w:r>
      <w:r>
        <w:rPr/>
        <w:t xml:space="preserve"> deep by [</w:t>
      </w:r>
      <w:r>
        <w:rPr>
          <w:rStyle w:val="IP"/>
          <w:b/>
        </w:rPr>
        <w:t>6-foot</w:t>
      </w:r>
      <w:r>
        <w:rPr>
          <w:rStyle w:val="SI"/>
          <w:b/>
        </w:rPr>
        <w:t xml:space="preserve"> (1829-mm)</w:t>
      </w:r>
      <w:r>
        <w:rPr>
          <w:b/>
        </w:rPr>
        <w:t>outside radius</w:t>
      </w:r>
      <w:r>
        <w:rPr/>
        <w:t>] [</w:t>
      </w:r>
      <w:r>
        <w:rPr>
          <w:rStyle w:val="IP"/>
          <w:b/>
        </w:rPr>
        <w:t>8-foot</w:t>
      </w:r>
      <w:r>
        <w:rPr>
          <w:rStyle w:val="SI"/>
          <w:b/>
        </w:rPr>
        <w:t xml:space="preserve"> (2438-mm)</w:t>
      </w:r>
      <w:r>
        <w:rPr>
          <w:b/>
        </w:rPr>
        <w:t>outside radius</w:t>
      </w:r>
      <w:r>
        <w:rPr/>
        <w:t>] [</w:t>
      </w:r>
      <w:r>
        <w:rPr>
          <w:rStyle w:val="IP"/>
          <w:b/>
        </w:rPr>
        <w:t>10-foot</w:t>
      </w:r>
      <w:r>
        <w:rPr>
          <w:rStyle w:val="SI"/>
          <w:b/>
        </w:rPr>
        <w:t xml:space="preserve"> (3048-mm)</w:t>
      </w:r>
      <w:r>
        <w:rPr>
          <w:b/>
        </w:rPr>
        <w:t>outside radius</w:t>
      </w:r>
      <w:r>
        <w:rPr/>
        <w:t>] [</w:t>
      </w:r>
      <w:r>
        <w:rPr>
          <w:rStyle w:val="IP"/>
          <w:b/>
        </w:rPr>
        <w:t>12-foot</w:t>
      </w:r>
      <w:r>
        <w:rPr>
          <w:rStyle w:val="SI"/>
          <w:b/>
        </w:rPr>
        <w:t xml:space="preserve"> (3658-mm)</w:t>
      </w:r>
      <w:r>
        <w:rPr>
          <w:b/>
        </w:rPr>
        <w:t>outside radius</w:t>
      </w:r>
      <w:r>
        <w:rPr/>
        <w:t>] [</w:t>
      </w:r>
      <w:r>
        <w:rPr>
          <w:rStyle w:val="IP"/>
          <w:b/>
        </w:rPr>
        <w:t>15-foot</w:t>
      </w:r>
      <w:r>
        <w:rPr>
          <w:rStyle w:val="SI"/>
          <w:b/>
        </w:rPr>
        <w:t xml:space="preserve"> (4572-mm)</w:t>
      </w:r>
      <w:r>
        <w:rPr>
          <w:b/>
        </w:rPr>
        <w:t xml:space="preserve"> outside radius</w:t>
      </w:r>
      <w:r>
        <w:rPr/>
        <w:t>] [</w:t>
      </w:r>
      <w:r>
        <w:rPr>
          <w:rStyle w:val="IP"/>
          <w:b/>
        </w:rPr>
        <w:t>17.5-foot</w:t>
      </w:r>
      <w:r>
        <w:rPr>
          <w:rStyle w:val="SI"/>
          <w:b/>
        </w:rPr>
        <w:t xml:space="preserve"> (5334-mm)</w:t>
      </w:r>
      <w:r>
        <w:rPr>
          <w:b/>
        </w:rPr>
        <w:t>outside radius</w:t>
      </w:r>
      <w:r>
        <w:rPr/>
        <w:t>] [</w:t>
      </w:r>
      <w:r>
        <w:rPr>
          <w:b/>
        </w:rPr>
        <w:t>outside radius indicated on Drawings</w:t>
      </w:r>
      <w:r>
        <w:rPr/>
        <w:t>] &lt;</w:t>
      </w:r>
      <w:r>
        <w:rPr>
          <w:b/>
        </w:rPr>
        <w:t>Insert dimension</w:t>
      </w:r>
      <w:r>
        <w:rPr/>
        <w:t>&gt;.</w:t>
      </w:r>
    </w:p>
    <w:p>
      <w:pPr>
        <w:pStyle w:val="CMT"/>
        <w:rPr/>
      </w:pPr>
      <w:r>
        <w:rPr/>
        <w:t>Some manufacturers offer options listed in "Dome Spacing and Configuration" Subparagraph below; verify availability with manufacturers. Revise if different spacing and configurations are required by local jurisdictions.</w:t>
      </w:r>
    </w:p>
    <w:p>
      <w:pPr>
        <w:pStyle w:val="PR2"/>
        <w:numPr>
          <w:ilvl w:val="5"/>
          <w:numId w:val="1"/>
        </w:numPr>
        <w:spacing w:before="240" w:after="0"/>
        <w:rPr/>
      </w:pPr>
      <w:r>
        <w:rPr/>
        <w:t>Dome Spacing and Configuration: [</w:t>
      </w:r>
      <w:r>
        <w:rPr>
          <w:rStyle w:val="IP"/>
          <w:b/>
        </w:rPr>
        <w:t>1.67-inch</w:t>
      </w:r>
      <w:r>
        <w:rPr>
          <w:rStyle w:val="SI"/>
          <w:b/>
        </w:rPr>
        <w:t xml:space="preserve"> (42.4-mm)</w:t>
      </w:r>
      <w:r>
        <w:rPr>
          <w:b/>
        </w:rPr>
        <w:t xml:space="preserve"> spacing</w:t>
      </w:r>
      <w:r>
        <w:rPr/>
        <w:t>] [</w:t>
      </w:r>
      <w:r>
        <w:rPr>
          <w:rStyle w:val="IP"/>
          <w:b/>
        </w:rPr>
        <w:t>2.35-inch</w:t>
      </w:r>
      <w:r>
        <w:rPr>
          <w:rStyle w:val="SI"/>
          <w:b/>
        </w:rPr>
        <w:t xml:space="preserve"> (59.7-mm)</w:t>
      </w:r>
      <w:r>
        <w:rPr>
          <w:b/>
        </w:rPr>
        <w:t xml:space="preserve"> spacing</w:t>
      </w:r>
      <w:r>
        <w:rPr/>
        <w:t>] [</w:t>
      </w:r>
      <w:r>
        <w:rPr>
          <w:b/>
        </w:rPr>
        <w:t>Manufacturer's standard compliant spacing</w:t>
      </w:r>
      <w:r>
        <w:rPr/>
        <w:t>] &lt;</w:t>
      </w:r>
      <w:r>
        <w:rPr>
          <w:b/>
        </w:rPr>
        <w:t>Insert spacing</w:t>
      </w:r>
      <w:r>
        <w:rPr/>
        <w:t>&gt;, in [</w:t>
      </w:r>
      <w:r>
        <w:rPr>
          <w:b/>
        </w:rPr>
        <w:t>square</w:t>
      </w:r>
      <w:r>
        <w:rPr/>
        <w:t>] [</w:t>
      </w:r>
      <w:r>
        <w:rPr>
          <w:b/>
        </w:rPr>
        <w:t>diamond</w:t>
      </w:r>
      <w:r>
        <w:rPr/>
        <w:t>] [</w:t>
      </w:r>
      <w:r>
        <w:rPr>
          <w:b/>
        </w:rPr>
        <w:t>manufacturer's standard</w:t>
      </w:r>
      <w:r>
        <w:rPr/>
        <w:t>] pattern.</w:t>
      </w:r>
    </w:p>
    <w:p>
      <w:pPr>
        <w:pStyle w:val="PR2"/>
        <w:numPr>
          <w:ilvl w:val="5"/>
          <w:numId w:val="1"/>
        </w:numPr>
        <w:rPr/>
      </w:pPr>
      <w:r>
        <w:rPr/>
        <w:t>Mounting:</w:t>
      </w:r>
    </w:p>
    <w:p>
      <w:pPr>
        <w:pStyle w:val="CMT"/>
        <w:rPr/>
      </w:pPr>
      <w:r>
        <w:rPr/>
        <w:t>Retain one of three subparagraphs below.</w:t>
      </w:r>
    </w:p>
    <w:p>
      <w:pPr>
        <w:pStyle w:val="PR3"/>
        <w:numPr>
          <w:ilvl w:val="6"/>
          <w:numId w:val="1"/>
        </w:numPr>
        <w:spacing w:before="240" w:after="0"/>
        <w:rPr/>
      </w:pPr>
      <w:r>
        <w:rPr/>
        <w:t>Permanently embedded detectable warning tile wet-set into freshly poured concrete.</w:t>
      </w:r>
    </w:p>
    <w:p>
      <w:pPr>
        <w:pStyle w:val="PR3"/>
        <w:numPr>
          <w:ilvl w:val="6"/>
          <w:numId w:val="1"/>
        </w:numPr>
        <w:rPr/>
      </w:pPr>
      <w:r>
        <w:rPr/>
        <w:t>Permanently embedded detectable warning tile set into formed recess in concrete and adhered with [</w:t>
      </w:r>
      <w:r>
        <w:rPr>
          <w:b/>
        </w:rPr>
        <w:t>mortar</w:t>
      </w:r>
      <w:r>
        <w:rPr/>
        <w:t>] [</w:t>
      </w:r>
      <w:r>
        <w:rPr>
          <w:b/>
        </w:rPr>
        <w:t>adhesive</w:t>
      </w:r>
      <w:r>
        <w:rPr/>
        <w:t>].</w:t>
      </w:r>
    </w:p>
    <w:p>
      <w:pPr>
        <w:pStyle w:val="PR3"/>
        <w:numPr>
          <w:ilvl w:val="6"/>
          <w:numId w:val="1"/>
        </w:numPr>
        <w:rPr/>
      </w:pPr>
      <w:r>
        <w:rPr/>
        <w:t>Replaceable embedded detectable warning tile fastened to permanently installed anchors.</w:t>
      </w:r>
    </w:p>
    <w:p>
      <w:pPr>
        <w:pStyle w:val="CMT"/>
        <w:rPr/>
      </w:pPr>
      <w:r>
        <w:rPr/>
        <w:t>Retain "Surface-Applied Detectable Warning Metal Tiles" Paragraph below for formed-stainless-steel detectable warning tiles adhered and fastened to existing concrete paving.</w:t>
      </w:r>
    </w:p>
    <w:p>
      <w:pPr>
        <w:pStyle w:val="PR1"/>
        <w:numPr>
          <w:ilvl w:val="4"/>
          <w:numId w:val="1"/>
        </w:numPr>
        <w:rPr/>
      </w:pPr>
      <w:r>
        <w:rPr/>
        <w:t>Surface-Applied Detectable Warning Metal Tiles: Accessible truncated-dome detectable warning metal tiles or plates configured for fastening to surface of existing concrete walkway surfaces, with slip-resistant surface treatment on domes, field of tile, and beveled outside edges.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Material: Stainless-Steel Plate and Sheet: ASTM A 240/A 240M or ASTM A 666, [</w:t>
      </w:r>
      <w:r>
        <w:rPr>
          <w:b/>
        </w:rPr>
        <w:t>Type 304</w:t>
      </w:r>
      <w:r>
        <w:rPr/>
        <w:t>] [</w:t>
      </w:r>
      <w:r>
        <w:rPr>
          <w:b/>
        </w:rPr>
        <w:t>Type 316L</w:t>
      </w:r>
      <w:r>
        <w:rPr/>
        <w:t>].</w:t>
      </w:r>
    </w:p>
    <w:p>
      <w:pPr>
        <w:pStyle w:val="PR2"/>
        <w:numPr>
          <w:ilvl w:val="5"/>
          <w:numId w:val="1"/>
        </w:numPr>
        <w:rPr/>
      </w:pPr>
      <w:r>
        <w:rPr/>
        <w:t>Finish and Color:</w:t>
      </w:r>
    </w:p>
    <w:p>
      <w:pPr>
        <w:pStyle w:val="PR3"/>
        <w:numPr>
          <w:ilvl w:val="6"/>
          <w:numId w:val="1"/>
        </w:numPr>
        <w:spacing w:before="240" w:after="0"/>
        <w:rPr/>
      </w:pPr>
      <w:r>
        <w:rPr/>
        <w:t>Manufacturer's standard powder coat, [</w:t>
      </w:r>
      <w:r>
        <w:rPr>
          <w:b/>
        </w:rPr>
        <w:t>safety yellow</w:t>
      </w:r>
      <w:r>
        <w:rPr/>
        <w:t>] [</w:t>
      </w:r>
      <w:r>
        <w:rPr>
          <w:b/>
        </w:rPr>
        <w:t>red brick</w:t>
      </w:r>
      <w:r>
        <w:rPr/>
        <w:t>] [</w:t>
      </w:r>
      <w:r>
        <w:rPr>
          <w:b/>
        </w:rPr>
        <w:t>black</w:t>
      </w:r>
      <w:r>
        <w:rPr/>
        <w:t>] [</w:t>
      </w:r>
      <w:r>
        <w:rPr>
          <w:b/>
        </w:rPr>
        <w:t>gray</w:t>
      </w:r>
      <w:r>
        <w:rPr/>
        <w:t>] [</w:t>
      </w:r>
      <w:r>
        <w:rPr>
          <w:b/>
        </w:rPr>
        <w:t>color as selected by Architect from manufacturer's full line</w:t>
      </w:r>
      <w:r>
        <w:rPr/>
        <w:t>].</w:t>
      </w:r>
    </w:p>
    <w:p>
      <w:pPr>
        <w:pStyle w:val="PR3"/>
        <w:numPr>
          <w:ilvl w:val="6"/>
          <w:numId w:val="1"/>
        </w:numPr>
        <w:rPr/>
      </w:pPr>
      <w:r>
        <w:rPr/>
        <w:t>Mill finish.</w:t>
      </w:r>
    </w:p>
    <w:p>
      <w:pPr>
        <w:pStyle w:val="CMT"/>
        <w:rPr/>
      </w:pPr>
      <w:r>
        <w:rPr/>
        <w:t>Verify shapes and sizes available from manufacturers.</w:t>
      </w:r>
    </w:p>
    <w:p>
      <w:pPr>
        <w:pStyle w:val="PR2"/>
        <w:numPr>
          <w:ilvl w:val="5"/>
          <w:numId w:val="1"/>
        </w:numPr>
        <w:spacing w:before="240" w:after="0"/>
        <w:rPr/>
      </w:pPr>
      <w:r>
        <w:rPr/>
        <w:t>Shapes and Sizes:</w:t>
      </w:r>
    </w:p>
    <w:p>
      <w:pPr>
        <w:pStyle w:val="PR3"/>
        <w:numPr>
          <w:ilvl w:val="6"/>
          <w:numId w:val="1"/>
        </w:numPr>
        <w:spacing w:before="240" w:after="0"/>
        <w:rPr/>
      </w:pPr>
      <w:r>
        <w:rPr/>
        <w:t>Rectangular panel, [</w:t>
      </w:r>
      <w:r>
        <w:rPr>
          <w:rStyle w:val="IP"/>
          <w:b/>
        </w:rPr>
        <w:t>24 by 24 inches</w:t>
      </w:r>
      <w:r>
        <w:rPr>
          <w:rStyle w:val="SI"/>
          <w:b/>
        </w:rPr>
        <w:t xml:space="preserve"> (610 by 610 mm)</w:t>
      </w:r>
      <w:r>
        <w:rPr/>
        <w:t>] [</w:t>
      </w:r>
      <w:r>
        <w:rPr>
          <w:rStyle w:val="IP"/>
          <w:b/>
        </w:rPr>
        <w:t>24 by 36 inches</w:t>
      </w:r>
      <w:r>
        <w:rPr>
          <w:rStyle w:val="SI"/>
          <w:b/>
        </w:rPr>
        <w:t xml:space="preserve"> (610 by 914 mm)</w:t>
      </w:r>
      <w:r>
        <w:rPr/>
        <w:t>] [</w:t>
      </w:r>
      <w:r>
        <w:rPr>
          <w:rStyle w:val="IP"/>
          <w:b/>
        </w:rPr>
        <w:t>24 by 48 inches</w:t>
      </w:r>
      <w:r>
        <w:rPr>
          <w:rStyle w:val="SI"/>
          <w:b/>
        </w:rPr>
        <w:t xml:space="preserve"> (610 by 1219 mm)</w:t>
      </w:r>
      <w:r>
        <w:rPr/>
        <w:t>] [</w:t>
      </w:r>
      <w:r>
        <w:rPr>
          <w:rStyle w:val="IP"/>
          <w:b/>
        </w:rPr>
        <w:t>24 by 60 inches</w:t>
      </w:r>
      <w:r>
        <w:rPr>
          <w:rStyle w:val="SI"/>
          <w:b/>
        </w:rPr>
        <w:t xml:space="preserve"> (610 by 1524 mm)</w:t>
      </w:r>
      <w:r>
        <w:rPr/>
        <w:t>] &lt;</w:t>
      </w:r>
      <w:r>
        <w:rPr>
          <w:b/>
        </w:rPr>
        <w:t>Insert dimensions</w:t>
      </w:r>
      <w:r>
        <w:rPr/>
        <w:t>&gt;.</w:t>
      </w:r>
    </w:p>
    <w:p>
      <w:pPr>
        <w:pStyle w:val="CMT"/>
        <w:rPr/>
      </w:pPr>
      <w:r>
        <w:rPr/>
        <w:t>Some manufacturers offer options listed in "Dome Spacing and Configuration" Subparagraph below; verify availability with manufacturers. Revise if different spacing and configurations are required by local jurisdictions.</w:t>
      </w:r>
    </w:p>
    <w:p>
      <w:pPr>
        <w:pStyle w:val="PR2"/>
        <w:numPr>
          <w:ilvl w:val="5"/>
          <w:numId w:val="1"/>
        </w:numPr>
        <w:spacing w:before="240" w:after="0"/>
        <w:rPr/>
      </w:pPr>
      <w:r>
        <w:rPr/>
        <w:t>Dome Spacing and Configuration: [</w:t>
      </w:r>
      <w:r>
        <w:rPr>
          <w:rStyle w:val="IP"/>
          <w:b/>
        </w:rPr>
        <w:t>1.67-inch</w:t>
      </w:r>
      <w:r>
        <w:rPr>
          <w:rStyle w:val="SI"/>
          <w:b/>
        </w:rPr>
        <w:t xml:space="preserve"> (42.4-mm)</w:t>
      </w:r>
      <w:r>
        <w:rPr>
          <w:b/>
        </w:rPr>
        <w:t xml:space="preserve"> spacing</w:t>
      </w:r>
      <w:r>
        <w:rPr/>
        <w:t>] [</w:t>
      </w:r>
      <w:r>
        <w:rPr>
          <w:rStyle w:val="IP"/>
          <w:b/>
        </w:rPr>
        <w:t>2.35-inch</w:t>
      </w:r>
      <w:r>
        <w:rPr>
          <w:rStyle w:val="SI"/>
          <w:b/>
        </w:rPr>
        <w:t xml:space="preserve"> (59.7-mm)</w:t>
      </w:r>
      <w:r>
        <w:rPr>
          <w:b/>
        </w:rPr>
        <w:t xml:space="preserve"> spacing</w:t>
      </w:r>
      <w:r>
        <w:rPr/>
        <w:t>] [</w:t>
      </w:r>
      <w:r>
        <w:rPr>
          <w:b/>
        </w:rPr>
        <w:t>Manufacturer's standard compliant spacing</w:t>
      </w:r>
      <w:r>
        <w:rPr/>
        <w:t>] &lt;</w:t>
      </w:r>
      <w:r>
        <w:rPr>
          <w:b/>
        </w:rPr>
        <w:t>Insert spacing</w:t>
      </w:r>
      <w:r>
        <w:rPr/>
        <w:t>&gt;, in [</w:t>
      </w:r>
      <w:r>
        <w:rPr>
          <w:b/>
        </w:rPr>
        <w:t>square</w:t>
      </w:r>
      <w:r>
        <w:rPr/>
        <w:t>] [</w:t>
      </w:r>
      <w:r>
        <w:rPr>
          <w:b/>
        </w:rPr>
        <w:t>diamond</w:t>
      </w:r>
      <w:r>
        <w:rPr/>
        <w:t>] [</w:t>
      </w:r>
      <w:r>
        <w:rPr>
          <w:b/>
        </w:rPr>
        <w:t>manufacturer's standard</w:t>
      </w:r>
      <w:r>
        <w:rPr/>
        <w:t>] pattern.</w:t>
      </w:r>
    </w:p>
    <w:p>
      <w:pPr>
        <w:pStyle w:val="PR2"/>
        <w:numPr>
          <w:ilvl w:val="5"/>
          <w:numId w:val="1"/>
        </w:numPr>
        <w:rPr/>
      </w:pPr>
      <w:r>
        <w:rPr/>
        <w:t>Mounting:</w:t>
      </w:r>
    </w:p>
    <w:p>
      <w:pPr>
        <w:pStyle w:val="PR3"/>
        <w:numPr>
          <w:ilvl w:val="6"/>
          <w:numId w:val="1"/>
        </w:numPr>
        <w:spacing w:before="240" w:after="0"/>
        <w:rPr/>
      </w:pPr>
      <w:r>
        <w:rPr/>
        <w:t>Replaceable surface-applied detectable warning tile fastened with permanently installed anchors to existing concrete walkway.</w:t>
      </w:r>
    </w:p>
    <w:p>
      <w:pPr>
        <w:pStyle w:val="PR3"/>
        <w:numPr>
          <w:ilvl w:val="6"/>
          <w:numId w:val="1"/>
        </w:numPr>
        <w:rPr/>
      </w:pPr>
      <w:r>
        <w:rPr/>
        <w:t>Permanently fixed detectable warning tile adhered[</w:t>
      </w:r>
      <w:r>
        <w:rPr>
          <w:b/>
        </w:rPr>
        <w:t> and fastened</w:t>
      </w:r>
      <w:r>
        <w:rPr/>
        <w:t>] to existing concrete walkway.</w:t>
      </w:r>
    </w:p>
    <w:p>
      <w:pPr>
        <w:pStyle w:val="ART"/>
        <w:numPr>
          <w:ilvl w:val="3"/>
          <w:numId w:val="1"/>
        </w:numPr>
        <w:ind w:hanging="0" w:left="0"/>
        <w:rPr/>
      </w:pPr>
      <w:r>
        <w:rPr/>
        <w:t>DETECTABLE WARNING MATS</w:t>
      </w:r>
    </w:p>
    <w:p>
      <w:pPr>
        <w:pStyle w:val="CMT"/>
        <w:rPr/>
      </w:pPr>
      <w:r>
        <w:rPr/>
        <w:t>Retain "Surface-Applied Detectable Warning Mats" Paragraph below for resilient detectable warning mats adhered to recess in surface of existing concrete walkway.</w:t>
      </w:r>
    </w:p>
    <w:p>
      <w:pPr>
        <w:pStyle w:val="PR1"/>
        <w:numPr>
          <w:ilvl w:val="4"/>
          <w:numId w:val="1"/>
        </w:numPr>
        <w:rPr/>
      </w:pPr>
      <w:r>
        <w:rPr/>
        <w:t>Surface-Applied Detectable Warning Mats: Accessible truncated-dome detectable warning resilient mats, UV resistant, manufactured for adhering to existing concrete walkway surfaces, with slip-resistant surface treatment on domes, field of mat, and beveled outside edges.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Material: Modified rubber compound, UV resistant.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rPr/>
      </w:pPr>
      <w:r>
        <w:rPr/>
        <w:t>Shapes and Sizes:</w:t>
      </w:r>
    </w:p>
    <w:p>
      <w:pPr>
        <w:pStyle w:val="PR3"/>
        <w:numPr>
          <w:ilvl w:val="6"/>
          <w:numId w:val="1"/>
        </w:numPr>
        <w:spacing w:before="240" w:after="0"/>
        <w:rPr/>
      </w:pPr>
      <w:r>
        <w:rPr/>
        <w:t>Rectangular panel, [</w:t>
      </w:r>
      <w:r>
        <w:rPr>
          <w:rStyle w:val="IP"/>
          <w:b/>
        </w:rPr>
        <w:t>24 by 36 inches</w:t>
      </w:r>
      <w:r>
        <w:rPr>
          <w:rStyle w:val="SI"/>
          <w:b/>
        </w:rPr>
        <w:t xml:space="preserve"> (610 by 914 mm)</w:t>
      </w:r>
      <w:r>
        <w:rPr/>
        <w:t>] [</w:t>
      </w:r>
      <w:r>
        <w:rPr>
          <w:rStyle w:val="IP"/>
          <w:b/>
        </w:rPr>
        <w:t>24 by 48 inches</w:t>
      </w:r>
      <w:r>
        <w:rPr>
          <w:rStyle w:val="SI"/>
          <w:b/>
        </w:rPr>
        <w:t xml:space="preserve"> (610 by 1219 mm)</w:t>
      </w:r>
      <w:r>
        <w:rPr/>
        <w:t>] [</w:t>
      </w:r>
      <w:r>
        <w:rPr>
          <w:rStyle w:val="IP"/>
          <w:b/>
        </w:rPr>
        <w:t>24 by 60 inches</w:t>
      </w:r>
      <w:r>
        <w:rPr>
          <w:rStyle w:val="SI"/>
          <w:b/>
        </w:rPr>
        <w:t xml:space="preserve"> (610 by 1524 mm)</w:t>
      </w:r>
      <w:r>
        <w:rPr/>
        <w:t>] &lt;</w:t>
      </w:r>
      <w:r>
        <w:rPr>
          <w:b/>
        </w:rPr>
        <w:t>Insert dimensions</w:t>
      </w:r>
      <w:r>
        <w:rPr/>
        <w:t>&gt;.</w:t>
      </w:r>
    </w:p>
    <w:p>
      <w:pPr>
        <w:pStyle w:val="CMT"/>
        <w:rPr/>
      </w:pPr>
      <w:r>
        <w:rPr/>
        <w:t>Some manufacturers offer options listed in "Dome Spacing and Configuration" Subparagraph below; verify availability with manufacturers. Revise if different spacing and configurations are required by local jurisdictions.</w:t>
      </w:r>
    </w:p>
    <w:p>
      <w:pPr>
        <w:pStyle w:val="PR2"/>
        <w:numPr>
          <w:ilvl w:val="5"/>
          <w:numId w:val="1"/>
        </w:numPr>
        <w:spacing w:before="240" w:after="0"/>
        <w:rPr/>
      </w:pPr>
      <w:r>
        <w:rPr/>
        <w:t>Dome Spacing and Configuration: [</w:t>
      </w:r>
      <w:r>
        <w:rPr>
          <w:rStyle w:val="IP"/>
          <w:b/>
        </w:rPr>
        <w:t>1.67-inch</w:t>
      </w:r>
      <w:r>
        <w:rPr>
          <w:rStyle w:val="SI"/>
          <w:b/>
        </w:rPr>
        <w:t xml:space="preserve"> (42.4-mm)</w:t>
      </w:r>
      <w:r>
        <w:rPr>
          <w:b/>
        </w:rPr>
        <w:t xml:space="preserve"> spacing</w:t>
      </w:r>
      <w:r>
        <w:rPr/>
        <w:t>] [</w:t>
      </w:r>
      <w:r>
        <w:rPr>
          <w:rStyle w:val="IP"/>
          <w:b/>
        </w:rPr>
        <w:t>2.35-inch</w:t>
      </w:r>
      <w:r>
        <w:rPr>
          <w:rStyle w:val="SI"/>
          <w:b/>
        </w:rPr>
        <w:t xml:space="preserve"> (59.7-mm)</w:t>
      </w:r>
      <w:r>
        <w:rPr>
          <w:b/>
        </w:rPr>
        <w:t xml:space="preserve"> spacing</w:t>
      </w:r>
      <w:r>
        <w:rPr/>
        <w:t>] [</w:t>
      </w:r>
      <w:r>
        <w:rPr>
          <w:b/>
        </w:rPr>
        <w:t>Manufacturer's standard compliant spacing</w:t>
      </w:r>
      <w:r>
        <w:rPr/>
        <w:t>] &lt;</w:t>
      </w:r>
      <w:r>
        <w:rPr>
          <w:b/>
        </w:rPr>
        <w:t>Insert spacing</w:t>
      </w:r>
      <w:r>
        <w:rPr/>
        <w:t>&gt;, in [</w:t>
      </w:r>
      <w:r>
        <w:rPr>
          <w:b/>
        </w:rPr>
        <w:t>square</w:t>
      </w:r>
      <w:r>
        <w:rPr/>
        <w:t>] [</w:t>
      </w:r>
      <w:r>
        <w:rPr>
          <w:b/>
        </w:rPr>
        <w:t>diamond</w:t>
      </w:r>
      <w:r>
        <w:rPr/>
        <w:t>] [</w:t>
      </w:r>
      <w:r>
        <w:rPr>
          <w:b/>
        </w:rPr>
        <w:t>manufacturer's standard</w:t>
      </w:r>
      <w:r>
        <w:rPr/>
        <w:t>] pattern.</w:t>
      </w:r>
    </w:p>
    <w:p>
      <w:pPr>
        <w:pStyle w:val="PR2"/>
        <w:numPr>
          <w:ilvl w:val="5"/>
          <w:numId w:val="1"/>
        </w:numPr>
        <w:rPr/>
      </w:pPr>
      <w:r>
        <w:rPr/>
        <w:t>Mounting: Adhered to pavement surface with adhesive[</w:t>
      </w:r>
      <w:r>
        <w:rPr>
          <w:b/>
        </w:rPr>
        <w:t> and fastened with fasteners</w:t>
      </w:r>
      <w:r>
        <w:rPr/>
        <w:t>].</w:t>
      </w:r>
    </w:p>
    <w:p>
      <w:pPr>
        <w:pStyle w:val="ART"/>
        <w:numPr>
          <w:ilvl w:val="3"/>
          <w:numId w:val="1"/>
        </w:numPr>
        <w:ind w:hanging="0" w:left="0"/>
        <w:rPr/>
      </w:pPr>
      <w:r>
        <w:rPr/>
        <w:t>DETECTABLE WARNING UNIT PAVERS</w:t>
      </w:r>
    </w:p>
    <w:p>
      <w:pPr>
        <w:pStyle w:val="CMT"/>
        <w:rPr/>
      </w:pPr>
      <w:r>
        <w:rPr/>
        <w:t>Retain "Detectable Warning Concrete Unit Pavers" Paragraph below for cast- or pressed-concrete detectable warning unit pavers set in prepared setting bed or adhered to substrate with mortar.</w:t>
      </w:r>
    </w:p>
    <w:p>
      <w:pPr>
        <w:pStyle w:val="PR1"/>
        <w:numPr>
          <w:ilvl w:val="4"/>
          <w:numId w:val="1"/>
        </w:numPr>
        <w:rPr/>
      </w:pPr>
      <w:r>
        <w:rPr/>
        <w:t xml:space="preserve">Detectable Warning Concrete Unit Pavers: Solid paving units, made from normal-weight concrete with a compressive strength of not less than </w:t>
      </w:r>
      <w:r>
        <w:rPr>
          <w:rStyle w:val="IP"/>
        </w:rPr>
        <w:t>5000 psi</w:t>
      </w:r>
      <w:r>
        <w:rPr>
          <w:rStyle w:val="SI"/>
        </w:rPr>
        <w:t xml:space="preserve"> (34 MPa)</w:t>
      </w:r>
      <w:r>
        <w:rPr/>
        <w:t xml:space="preserve"> &lt;</w:t>
      </w:r>
      <w:r>
        <w:rPr>
          <w:b/>
        </w:rPr>
        <w:t>Insert value</w:t>
      </w:r>
      <w:r>
        <w:rPr/>
        <w:t>&gt;, water absorption of not more than 5 percent according to ASTM C 140, and no breakage and not more than 1 percent mass loss when tested for freeze-thaw resistance according to ASTM C 67, with accessible detectable warning truncated domes on exposed surface of units.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Verify shapes and sizes available from manufacturers.</w:t>
      </w:r>
    </w:p>
    <w:p>
      <w:pPr>
        <w:pStyle w:val="PR2"/>
        <w:numPr>
          <w:ilvl w:val="5"/>
          <w:numId w:val="1"/>
        </w:numPr>
        <w:rPr/>
      </w:pPr>
      <w:r>
        <w:rPr/>
        <w:t>Shapes and Sizes:</w:t>
      </w:r>
    </w:p>
    <w:p>
      <w:pPr>
        <w:pStyle w:val="PR3"/>
        <w:numPr>
          <w:ilvl w:val="6"/>
          <w:numId w:val="1"/>
        </w:numPr>
        <w:spacing w:before="240" w:after="0"/>
        <w:rPr/>
      </w:pPr>
      <w:r>
        <w:rPr/>
        <w:t>Thickness: [</w:t>
      </w:r>
      <w:r>
        <w:rPr>
          <w:rStyle w:val="IP"/>
          <w:b/>
        </w:rPr>
        <w:t>2 inches</w:t>
      </w:r>
      <w:r>
        <w:rPr>
          <w:rStyle w:val="SI"/>
          <w:b/>
        </w:rPr>
        <w:t xml:space="preserve"> (51 mm)</w:t>
      </w:r>
      <w:r>
        <w:rPr/>
        <w:t>] [</w:t>
      </w:r>
      <w:r>
        <w:rPr>
          <w:rStyle w:val="IP"/>
          <w:b/>
        </w:rPr>
        <w:t>2-1/2 inches</w:t>
      </w:r>
      <w:r>
        <w:rPr>
          <w:rStyle w:val="SI"/>
          <w:b/>
        </w:rPr>
        <w:t xml:space="preserve"> (63 mm)</w:t>
      </w:r>
      <w:r>
        <w:rPr/>
        <w:t>] &lt;</w:t>
      </w:r>
      <w:r>
        <w:rPr>
          <w:b/>
        </w:rPr>
        <w:t>Insert dimension</w:t>
      </w:r>
      <w:r>
        <w:rPr/>
        <w:t>&gt; at field of tile.</w:t>
      </w:r>
    </w:p>
    <w:p>
      <w:pPr>
        <w:pStyle w:val="PR3"/>
        <w:numPr>
          <w:ilvl w:val="6"/>
          <w:numId w:val="1"/>
        </w:numPr>
        <w:rPr/>
      </w:pPr>
      <w:r>
        <w:rPr/>
        <w:t>Face Size: Nominal [</w:t>
      </w:r>
      <w:r>
        <w:rPr>
          <w:rStyle w:val="IP"/>
          <w:b/>
        </w:rPr>
        <w:t>12 by 12 inches</w:t>
      </w:r>
      <w:r>
        <w:rPr>
          <w:rStyle w:val="SI"/>
          <w:b/>
        </w:rPr>
        <w:t xml:space="preserve"> (305 by 305 mm)</w:t>
      </w:r>
      <w:r>
        <w:rPr/>
        <w:t>] [</w:t>
      </w:r>
      <w:r>
        <w:rPr>
          <w:rStyle w:val="IP"/>
          <w:b/>
        </w:rPr>
        <w:t>24 by 24 inches</w:t>
      </w:r>
      <w:r>
        <w:rPr>
          <w:rStyle w:val="SI"/>
          <w:b/>
        </w:rPr>
        <w:t xml:space="preserve"> (610 by 610 mm)</w:t>
      </w:r>
      <w:r>
        <w:rPr/>
        <w:t>] &lt;</w:t>
      </w:r>
      <w:r>
        <w:rPr>
          <w:b/>
        </w:rPr>
        <w:t>Insert dimensions</w:t>
      </w:r>
      <w:r>
        <w:rPr/>
        <w:t>&gt;.</w:t>
      </w:r>
    </w:p>
    <w:p>
      <w:pPr>
        <w:pStyle w:val="CMT"/>
        <w:rPr/>
      </w:pPr>
      <w:r>
        <w:rPr/>
        <w:t>Some manufacturers offer options listed in "Dome Spacing and Configuration" Subparagraph below; verify availability with manufacturers. Revise if different spacing and configurations are required by local jurisdictions.</w:t>
      </w:r>
    </w:p>
    <w:p>
      <w:pPr>
        <w:pStyle w:val="PR2"/>
        <w:numPr>
          <w:ilvl w:val="5"/>
          <w:numId w:val="1"/>
        </w:numPr>
        <w:spacing w:before="240" w:after="0"/>
        <w:rPr/>
      </w:pPr>
      <w:r>
        <w:rPr/>
        <w:t>Dome Spacing and Configuration: [</w:t>
      </w:r>
      <w:r>
        <w:rPr>
          <w:rStyle w:val="IP"/>
          <w:b/>
        </w:rPr>
        <w:t>1.67-inch</w:t>
      </w:r>
      <w:r>
        <w:rPr>
          <w:rStyle w:val="SI"/>
          <w:b/>
        </w:rPr>
        <w:t xml:space="preserve"> (42.4-mm)</w:t>
      </w:r>
      <w:r>
        <w:rPr>
          <w:b/>
        </w:rPr>
        <w:t xml:space="preserve"> spacing</w:t>
      </w:r>
      <w:r>
        <w:rPr/>
        <w:t>] [</w:t>
      </w:r>
      <w:r>
        <w:rPr>
          <w:rStyle w:val="IP"/>
          <w:b/>
        </w:rPr>
        <w:t>2.35-inch</w:t>
      </w:r>
      <w:r>
        <w:rPr>
          <w:rStyle w:val="SI"/>
          <w:b/>
        </w:rPr>
        <w:t xml:space="preserve"> (59.7-mm)</w:t>
      </w:r>
      <w:r>
        <w:rPr>
          <w:b/>
        </w:rPr>
        <w:t xml:space="preserve"> spacing</w:t>
      </w:r>
      <w:r>
        <w:rPr/>
        <w:t>] [</w:t>
      </w:r>
      <w:r>
        <w:rPr>
          <w:b/>
        </w:rPr>
        <w:t>Manufacturer's standard compliant spacing</w:t>
      </w:r>
      <w:r>
        <w:rPr/>
        <w:t>] &lt;</w:t>
      </w:r>
      <w:r>
        <w:rPr>
          <w:b/>
        </w:rPr>
        <w:t>Insert spacing</w:t>
      </w:r>
      <w:r>
        <w:rPr/>
        <w:t>&gt;, in [</w:t>
      </w:r>
      <w:r>
        <w:rPr>
          <w:b/>
        </w:rPr>
        <w:t>square</w:t>
      </w:r>
      <w:r>
        <w:rPr/>
        <w:t>] [</w:t>
      </w:r>
      <w:r>
        <w:rPr>
          <w:b/>
        </w:rPr>
        <w:t>diamond</w:t>
      </w:r>
      <w:r>
        <w:rPr/>
        <w:t>] [</w:t>
      </w:r>
      <w:r>
        <w:rPr>
          <w:b/>
        </w:rPr>
        <w:t>manufacturer's standard</w:t>
      </w:r>
      <w:r>
        <w:rPr/>
        <w:t>] pattern.</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one or more of "Setting Bed," "Aggregate Setting Bed," and "Mortar Setting Bed" paragraphs below as applicable to Project.</w:t>
      </w:r>
    </w:p>
    <w:p>
      <w:pPr>
        <w:pStyle w:val="PR1"/>
        <w:numPr>
          <w:ilvl w:val="4"/>
          <w:numId w:val="1"/>
        </w:numPr>
        <w:rPr/>
      </w:pPr>
      <w:r>
        <w:rPr/>
        <w:t>Setting Bed: Comply with requirements in Section 321400 "Unit Paving."</w:t>
      </w:r>
    </w:p>
    <w:p>
      <w:pPr>
        <w:pStyle w:val="CMT"/>
        <w:rPr/>
      </w:pPr>
      <w:r>
        <w:rPr/>
        <w:t>Requirements in "Aggregate Setting Bed" Paragraph are examples; revise to suit Project.</w:t>
      </w:r>
    </w:p>
    <w:p>
      <w:pPr>
        <w:pStyle w:val="PR1"/>
        <w:numPr>
          <w:ilvl w:val="4"/>
          <w:numId w:val="1"/>
        </w:numPr>
        <w:rPr/>
      </w:pPr>
      <w:r>
        <w:rPr/>
        <w:t>Aggregate Setting Bed:</w:t>
      </w:r>
    </w:p>
    <w:p>
      <w:pPr>
        <w:pStyle w:val="PR2"/>
        <w:numPr>
          <w:ilvl w:val="5"/>
          <w:numId w:val="1"/>
        </w:numPr>
        <w:spacing w:before="240" w:after="0"/>
        <w:rPr/>
      </w:pPr>
      <w:r>
        <w:rPr/>
        <w:t>Graded Aggregate for Base: Sound, crushed stone or gravel complying with ASTM D 448 for Size No. 8.</w:t>
      </w:r>
    </w:p>
    <w:p>
      <w:pPr>
        <w:pStyle w:val="PR2"/>
        <w:numPr>
          <w:ilvl w:val="5"/>
          <w:numId w:val="1"/>
        </w:numPr>
        <w:rPr/>
      </w:pPr>
      <w:r>
        <w:rPr/>
        <w:t>Sand for Leveling Course: Sound, sharp, washed, natural sand or crushed stone complying with gradation requirements in ASTM C 33/C 33M for fine aggregate.</w:t>
      </w:r>
    </w:p>
    <w:p>
      <w:pPr>
        <w:pStyle w:val="PR2"/>
        <w:numPr>
          <w:ilvl w:val="5"/>
          <w:numId w:val="1"/>
        </w:numPr>
        <w:rPr/>
      </w:pPr>
      <w:r>
        <w:rPr/>
        <w:t xml:space="preserve">Sand for Joints: Fine, sharp, washed, natural sand or crushed stone with 100 percent passing </w:t>
      </w:r>
      <w:r>
        <w:rPr>
          <w:rStyle w:val="IP"/>
        </w:rPr>
        <w:t>No. 16</w:t>
      </w:r>
      <w:r>
        <w:rPr>
          <w:rStyle w:val="SI"/>
        </w:rPr>
        <w:t xml:space="preserve"> (1.18-mm)</w:t>
      </w:r>
      <w:r>
        <w:rPr/>
        <w:t xml:space="preserve"> sieve and no more than 10 percent passing </w:t>
      </w:r>
      <w:r>
        <w:rPr>
          <w:rStyle w:val="IP"/>
        </w:rPr>
        <w:t>No. 200</w:t>
      </w:r>
      <w:r>
        <w:rPr>
          <w:rStyle w:val="SI"/>
        </w:rPr>
        <w:t xml:space="preserve"> (0.075-mm)</w:t>
      </w:r>
      <w:r>
        <w:rPr/>
        <w:t xml:space="preserve"> sieve.</w:t>
      </w:r>
    </w:p>
    <w:p>
      <w:pPr>
        <w:pStyle w:val="CMT"/>
        <w:rPr/>
      </w:pPr>
      <w:r>
        <w:rPr/>
        <w:t>Requirements in "Mortar Setting Bed" Paragraph are examples; revise to suit Project.</w:t>
      </w:r>
    </w:p>
    <w:p>
      <w:pPr>
        <w:pStyle w:val="PR1"/>
        <w:numPr>
          <w:ilvl w:val="4"/>
          <w:numId w:val="1"/>
        </w:numPr>
        <w:rPr/>
      </w:pPr>
      <w:r>
        <w:rPr/>
        <w:t>Mortar Setting Bed:</w:t>
      </w:r>
    </w:p>
    <w:p>
      <w:pPr>
        <w:pStyle w:val="PR2"/>
        <w:numPr>
          <w:ilvl w:val="5"/>
          <w:numId w:val="1"/>
        </w:numPr>
        <w:spacing w:before="240" w:after="0"/>
        <w:rPr/>
      </w:pPr>
      <w:r>
        <w:rPr/>
        <w:t>Portland Cement: ASTM C 150/C 150M, Type I or Type II.</w:t>
      </w:r>
    </w:p>
    <w:p>
      <w:pPr>
        <w:pStyle w:val="PR2"/>
        <w:numPr>
          <w:ilvl w:val="5"/>
          <w:numId w:val="1"/>
        </w:numPr>
        <w:rPr/>
      </w:pPr>
      <w:r>
        <w:rPr/>
        <w:t>Sand: ASTM C 33/C 33M.</w:t>
      </w:r>
    </w:p>
    <w:p>
      <w:pPr>
        <w:pStyle w:val="PR2"/>
        <w:numPr>
          <w:ilvl w:val="5"/>
          <w:numId w:val="1"/>
        </w:numPr>
        <w:rPr/>
      </w:pPr>
      <w:r>
        <w:rPr/>
        <w:t>Latex Additive: Manufacturer's standard water emulsion, serving as replacement for part or all of gaging water, of type specifically recommended by latex-additive manufacturer for use with field-mixed portland cement and aggregate mortar bed, and not containing a retarder.</w:t>
      </w:r>
    </w:p>
    <w:p>
      <w:pPr>
        <w:pStyle w:val="PR2"/>
        <w:numPr>
          <w:ilvl w:val="5"/>
          <w:numId w:val="1"/>
        </w:numPr>
        <w:rPr/>
      </w:pPr>
      <w:r>
        <w:rPr/>
        <w:t>Thinset Mortar: Latex-modified portland cement mortar complying with ANSI A118.4.</w:t>
      </w:r>
    </w:p>
    <w:p>
      <w:pPr>
        <w:pStyle w:val="PR2"/>
        <w:numPr>
          <w:ilvl w:val="5"/>
          <w:numId w:val="1"/>
        </w:numPr>
        <w:rPr/>
      </w:pPr>
      <w:r>
        <w:rPr/>
        <w:t>Water: Potable.</w:t>
      </w:r>
    </w:p>
    <w:p>
      <w:pPr>
        <w:pStyle w:val="ART"/>
        <w:numPr>
          <w:ilvl w:val="3"/>
          <w:numId w:val="1"/>
        </w:numPr>
        <w:ind w:hanging="0" w:left="0"/>
        <w:rPr/>
      </w:pPr>
      <w:r>
        <w:rPr/>
        <w:t>ACCESSORIES</w:t>
      </w:r>
    </w:p>
    <w:p>
      <w:pPr>
        <w:pStyle w:val="CMT"/>
        <w:rPr/>
      </w:pPr>
      <w:r>
        <w:rPr/>
        <w:t>Retain one or more of "Fasteners and Anchors," "Adhesive," and "Sealant" paragraphs below as required for installation of tactile warning surfacing unit types selected.</w:t>
      </w:r>
    </w:p>
    <w:p>
      <w:pPr>
        <w:pStyle w:val="PR1"/>
        <w:numPr>
          <w:ilvl w:val="4"/>
          <w:numId w:val="1"/>
        </w:numPr>
        <w:rPr/>
      </w:pPr>
      <w:r>
        <w:rPr/>
        <w:t>Fasteners and Anchors: Manufacturer's standard as required for secure anchorage of tactile warning surfaces, noncorrosive and compatible with each material joined, and complying with the following:</w:t>
      </w:r>
    </w:p>
    <w:p>
      <w:pPr>
        <w:pStyle w:val="CMT"/>
        <w:rPr/>
      </w:pPr>
      <w:r>
        <w:rPr/>
        <w:t>Usually retain Type 304 in first subparagraph below; retain Type 316 if required for corrosive environments.</w:t>
      </w:r>
    </w:p>
    <w:p>
      <w:pPr>
        <w:pStyle w:val="PR2"/>
        <w:numPr>
          <w:ilvl w:val="5"/>
          <w:numId w:val="1"/>
        </w:numPr>
        <w:spacing w:before="240" w:after="0"/>
        <w:rPr/>
      </w:pPr>
      <w:r>
        <w:rPr/>
        <w:t>Furnish [</w:t>
      </w:r>
      <w:r>
        <w:rPr>
          <w:b/>
        </w:rPr>
        <w:t>Type 304</w:t>
      </w:r>
      <w:r>
        <w:rPr/>
        <w:t>] [</w:t>
      </w:r>
      <w:r>
        <w:rPr>
          <w:b/>
        </w:rPr>
        <w:t>Type 316</w:t>
      </w:r>
      <w:r>
        <w:rPr/>
        <w:t>] stainless-steel fasteners for exterior use.</w:t>
      </w:r>
    </w:p>
    <w:p>
      <w:pPr>
        <w:pStyle w:val="PR2"/>
        <w:numPr>
          <w:ilvl w:val="5"/>
          <w:numId w:val="1"/>
        </w:numPr>
        <w:rPr/>
      </w:pPr>
      <w:r>
        <w:rPr/>
        <w:t>Fastener Heads: For nonstructural connections, use flathead or oval countersunk screws and bolts with tamper-resistant heads, colored to match tile.</w:t>
      </w:r>
    </w:p>
    <w:p>
      <w:pPr>
        <w:pStyle w:val="PR1"/>
        <w:numPr>
          <w:ilvl w:val="4"/>
          <w:numId w:val="1"/>
        </w:numPr>
        <w:rPr/>
      </w:pPr>
      <w:r>
        <w:rPr/>
        <w:t>Adhesive: As recommended by manufacturer for adhering tactile warning surfacing unit to pavement.</w:t>
      </w:r>
    </w:p>
    <w:p>
      <w:pPr>
        <w:pStyle w:val="PR1"/>
        <w:numPr>
          <w:ilvl w:val="4"/>
          <w:numId w:val="1"/>
        </w:numPr>
        <w:rPr/>
      </w:pPr>
      <w:r>
        <w:rPr/>
        <w:t>Sealant: As recommended by manufacturer for sealing perimeter of tactile warning surfacing unit.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pavement is in suitable condition to begin installation according to manufacturer's written instructions. Verify that installation of tactile warning surfacing will comply with accessibility requirements upon completion.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TACTILE WARNING SURFACING</w:t>
      </w:r>
    </w:p>
    <w:p>
      <w:pPr>
        <w:pStyle w:val="PR1"/>
        <w:numPr>
          <w:ilvl w:val="4"/>
          <w:numId w:val="1"/>
        </w:numPr>
        <w:rPr/>
      </w:pPr>
      <w:r>
        <w:rPr/>
        <w:t>General: Prepare substrate and install tactile warning surfacing according to manufacturer's written instructions unless otherwise indicated.</w:t>
      </w:r>
    </w:p>
    <w:p>
      <w:pPr>
        <w:pStyle w:val="PR1"/>
        <w:numPr>
          <w:ilvl w:val="4"/>
          <w:numId w:val="1"/>
        </w:numPr>
        <w:rPr/>
      </w:pPr>
      <w:r>
        <w:rPr/>
        <w:t>Place tactile warning surfacing units in dimensions and orientation indicated. Comply with location requirements of AASHTO MP 12.</w:t>
      </w:r>
    </w:p>
    <w:p>
      <w:pPr>
        <w:pStyle w:val="CMT"/>
        <w:rPr/>
      </w:pPr>
      <w:r>
        <w:rPr/>
        <w:t>Retain one or more of "Installation of Detectable Warning Tiles," Installation of Detectable Warning Mats," and "Installation of Detectable Warning Unit Pavers" articles below corresponding to Project requirements; coordinate with products retained in Part 2.</w:t>
      </w:r>
    </w:p>
    <w:p>
      <w:pPr>
        <w:pStyle w:val="ART"/>
        <w:numPr>
          <w:ilvl w:val="3"/>
          <w:numId w:val="1"/>
        </w:numPr>
        <w:ind w:hanging="0" w:left="0"/>
        <w:rPr/>
      </w:pPr>
      <w:r>
        <w:rPr/>
        <w:t>INSTALLATION OF DETECTABLE WARNING TILES</w:t>
      </w:r>
    </w:p>
    <w:p>
      <w:pPr>
        <w:pStyle w:val="CMT"/>
        <w:rPr/>
      </w:pPr>
      <w:r>
        <w:rPr/>
        <w:t>Retain one or more of "Cast-in-Place Detectable Warning Tiles," "Removable Cast-in-Place Detectable Warning Tiles," and "Surface-Applied Detectable Warning Tiles" paragraphs below corresponding to Project requirements; coordinate with products retained in Part 1.</w:t>
      </w:r>
    </w:p>
    <w:p>
      <w:pPr>
        <w:pStyle w:val="PR1"/>
        <w:numPr>
          <w:ilvl w:val="4"/>
          <w:numId w:val="1"/>
        </w:numPr>
        <w:rPr/>
      </w:pPr>
      <w:r>
        <w:rPr/>
        <w:t>Cast-in-Place Detectable Warning Tiles:</w:t>
      </w:r>
    </w:p>
    <w:p>
      <w:pPr>
        <w:pStyle w:val="PR2"/>
        <w:numPr>
          <w:ilvl w:val="5"/>
          <w:numId w:val="1"/>
        </w:numPr>
        <w:spacing w:before="240" w:after="0"/>
        <w:rPr/>
      </w:pPr>
      <w:r>
        <w:rPr/>
        <w:t>Concrete Paving Installation: Comply with installation requirements in Section 321313 "Concrete Paving." Mix, place, and finish concrete to conditions complying with detectable warning tile manufacturer's written requirements for satisfactory embedment of tile.</w:t>
      </w:r>
    </w:p>
    <w:p>
      <w:pPr>
        <w:pStyle w:val="PR2"/>
        <w:numPr>
          <w:ilvl w:val="5"/>
          <w:numId w:val="1"/>
        </w:numPr>
        <w:rPr/>
      </w:pPr>
      <w:r>
        <w:rPr/>
        <w:t>Set each detectable warning tile accurately and firmly in place and completely seat tile back and embedments in wet concrete by tamping or vibrating. If necessary, temporarily apply weight to tiles to ensure full contact with concrete.</w:t>
      </w:r>
    </w:p>
    <w:p>
      <w:pPr>
        <w:pStyle w:val="PR2"/>
        <w:numPr>
          <w:ilvl w:val="5"/>
          <w:numId w:val="1"/>
        </w:numPr>
        <w:rPr/>
      </w:pPr>
      <w:r>
        <w:rPr/>
        <w:t xml:space="preserve">Set surface of tile flush with surrounding concrete and adjacent tiles, with variations between tiles and between concrete and tiles not exceeding plus or minus </w:t>
      </w:r>
      <w:r>
        <w:rPr>
          <w:rStyle w:val="IP"/>
        </w:rPr>
        <w:t>1/8 inch</w:t>
      </w:r>
      <w:r>
        <w:rPr>
          <w:rStyle w:val="SI"/>
        </w:rPr>
        <w:t xml:space="preserve"> (3 mm)</w:t>
      </w:r>
      <w:r>
        <w:rPr/>
        <w:t xml:space="preserve"> from flush.</w:t>
      </w:r>
    </w:p>
    <w:p>
      <w:pPr>
        <w:pStyle w:val="PR2"/>
        <w:numPr>
          <w:ilvl w:val="5"/>
          <w:numId w:val="1"/>
        </w:numPr>
        <w:rPr/>
      </w:pPr>
      <w:r>
        <w:rPr/>
        <w:t>Protect exposed surfaces of installed tiles from contact with wet concrete. Complete finishing of concrete paving surrounding tiles. Remove concrete from tile surfaces.</w:t>
      </w:r>
    </w:p>
    <w:p>
      <w:pPr>
        <w:pStyle w:val="PR2"/>
        <w:numPr>
          <w:ilvl w:val="5"/>
          <w:numId w:val="1"/>
        </w:numPr>
        <w:rPr/>
      </w:pPr>
      <w:r>
        <w:rPr/>
        <w:t>Clean tiles using methods recommended in writing by manufacturer.</w:t>
      </w:r>
    </w:p>
    <w:p>
      <w:pPr>
        <w:pStyle w:val="PR1"/>
        <w:numPr>
          <w:ilvl w:val="4"/>
          <w:numId w:val="1"/>
        </w:numPr>
        <w:rPr/>
      </w:pPr>
      <w:r>
        <w:rPr/>
        <w:t>Removable Cast-in-Place Detectable Warning Tiles:</w:t>
      </w:r>
    </w:p>
    <w:p>
      <w:pPr>
        <w:pStyle w:val="PR2"/>
        <w:numPr>
          <w:ilvl w:val="5"/>
          <w:numId w:val="1"/>
        </w:numPr>
        <w:spacing w:before="240" w:after="0"/>
        <w:rPr/>
      </w:pPr>
      <w:r>
        <w:rPr/>
        <w:t>Concrete Paving Installation: Comply with installation requirements in Section 321313 "Concrete Paving." Mix, place, and finish concrete to conditions complying with detectable warning tile manufacturer's written requirements for satisfactory embedment of removable tile.</w:t>
      </w:r>
    </w:p>
    <w:p>
      <w:pPr>
        <w:pStyle w:val="PR2"/>
        <w:numPr>
          <w:ilvl w:val="5"/>
          <w:numId w:val="1"/>
        </w:numPr>
        <w:rPr/>
      </w:pPr>
      <w:r>
        <w:rPr/>
        <w:t>Set each detectable warning tile accurately and firmly in place with embedding anchors and fasteners attached, and firmly seat tile back in wet concrete by tamping or vibrating. If necessary, temporarily apply weight to tiles to ensure full contact with concrete.</w:t>
      </w:r>
    </w:p>
    <w:p>
      <w:pPr>
        <w:pStyle w:val="PR2"/>
        <w:numPr>
          <w:ilvl w:val="5"/>
          <w:numId w:val="1"/>
        </w:numPr>
        <w:rPr/>
      </w:pPr>
      <w:r>
        <w:rPr/>
        <w:t xml:space="preserve">Set surface of tile flush with surrounding concrete and adjacent tiles, with variations between tiles and between concrete and tiles not exceeding plus or minus </w:t>
      </w:r>
      <w:r>
        <w:rPr>
          <w:rStyle w:val="IP"/>
        </w:rPr>
        <w:t>1/8 inch</w:t>
      </w:r>
      <w:r>
        <w:rPr>
          <w:rStyle w:val="SI"/>
        </w:rPr>
        <w:t xml:space="preserve"> (3 mm)</w:t>
      </w:r>
      <w:r>
        <w:rPr/>
        <w:t xml:space="preserve"> from flush.</w:t>
      </w:r>
    </w:p>
    <w:p>
      <w:pPr>
        <w:pStyle w:val="PR2"/>
        <w:numPr>
          <w:ilvl w:val="5"/>
          <w:numId w:val="1"/>
        </w:numPr>
        <w:rPr/>
      </w:pPr>
      <w:r>
        <w:rPr/>
        <w:t>Protect exposed surfaces of installed tiles from contact with wet concrete. Complete finishing of concrete paving surrounding tiles. Remove concrete from tile surfaces.</w:t>
      </w:r>
    </w:p>
    <w:p>
      <w:pPr>
        <w:pStyle w:val="PR2"/>
        <w:numPr>
          <w:ilvl w:val="5"/>
          <w:numId w:val="1"/>
        </w:numPr>
        <w:rPr/>
      </w:pPr>
      <w:r>
        <w:rPr/>
        <w:t>Clean tiles using methods recommended in writing by manufacturer.</w:t>
      </w:r>
    </w:p>
    <w:p>
      <w:pPr>
        <w:pStyle w:val="PR1"/>
        <w:numPr>
          <w:ilvl w:val="4"/>
          <w:numId w:val="1"/>
        </w:numPr>
        <w:rPr/>
      </w:pPr>
      <w:r>
        <w:rPr/>
        <w:t>Surface-Applied Detectable Warning Tiles:</w:t>
      </w:r>
    </w:p>
    <w:p>
      <w:pPr>
        <w:pStyle w:val="PR2"/>
        <w:numPr>
          <w:ilvl w:val="5"/>
          <w:numId w:val="1"/>
        </w:numPr>
        <w:spacing w:before="240" w:after="0"/>
        <w:rPr/>
      </w:pPr>
      <w:r>
        <w:rPr/>
        <w:t>Lay out detectable warning tiles as indicated and mark concrete pavement.</w:t>
      </w:r>
    </w:p>
    <w:p>
      <w:pPr>
        <w:pStyle w:val="PR2"/>
        <w:numPr>
          <w:ilvl w:val="5"/>
          <w:numId w:val="1"/>
        </w:numPr>
        <w:rPr/>
      </w:pPr>
      <w:r>
        <w:rPr/>
        <w:t>Prepare existing paving surface by grinding and cleaning as recommended by manufacturer.</w:t>
      </w:r>
    </w:p>
    <w:p>
      <w:pPr>
        <w:pStyle w:val="CMT"/>
        <w:rPr/>
      </w:pPr>
      <w:r>
        <w:rPr/>
        <w:t>Retain first subparagraph below for metal tiles or plates configured with flanged return at edge.</w:t>
      </w:r>
    </w:p>
    <w:p>
      <w:pPr>
        <w:pStyle w:val="PR3"/>
        <w:numPr>
          <w:ilvl w:val="6"/>
          <w:numId w:val="1"/>
        </w:numPr>
        <w:spacing w:before="240" w:after="0"/>
        <w:rPr/>
      </w:pPr>
      <w:r>
        <w:rPr/>
        <w:t>Cut perimeter kerf in existing concrete pavement to receive metal tile flange.</w:t>
      </w:r>
    </w:p>
    <w:p>
      <w:pPr>
        <w:pStyle w:val="PR2"/>
        <w:numPr>
          <w:ilvl w:val="5"/>
          <w:numId w:val="1"/>
        </w:numPr>
        <w:spacing w:before="240" w:after="0"/>
        <w:rPr/>
      </w:pPr>
      <w:r>
        <w:rPr/>
        <w:t>Apply adhesive to back of tiles in amounts and pattern recommended by manufacturer, and set tiles in place. Firmly seat tiles in adhesive bed, eliminating air pockets and establishing full adhesion to pavement. If necessary, temporarily apply weight to tiles to ensure full contact with concrete.</w:t>
      </w:r>
    </w:p>
    <w:p>
      <w:pPr>
        <w:pStyle w:val="PR2"/>
        <w:numPr>
          <w:ilvl w:val="5"/>
          <w:numId w:val="1"/>
        </w:numPr>
        <w:rPr/>
      </w:pPr>
      <w:r>
        <w:rPr/>
        <w:t>Install anchor devices through face of tiles and into pavement using anchors located as recommended by manufacturer. Set heads of anchors flush with top surface of mat.</w:t>
      </w:r>
    </w:p>
    <w:p>
      <w:pPr>
        <w:pStyle w:val="PR2"/>
        <w:numPr>
          <w:ilvl w:val="5"/>
          <w:numId w:val="1"/>
        </w:numPr>
        <w:rPr/>
      </w:pPr>
      <w:r>
        <w:rPr/>
        <w:t>Mask perimeter of tiles and adjacent concrete, and apply sealant in continuous bead around perimeter of tile installation.</w:t>
      </w:r>
    </w:p>
    <w:p>
      <w:pPr>
        <w:pStyle w:val="PR2"/>
        <w:numPr>
          <w:ilvl w:val="5"/>
          <w:numId w:val="1"/>
        </w:numPr>
        <w:rPr/>
      </w:pPr>
      <w:r>
        <w:rPr/>
        <w:t>Remove masking, adhesive, excess sealant, and soil from exposed surfaces of detectable warning tiles and surrounding concrete pavement using cleaning agents recommended in writing by manufacturer.</w:t>
      </w:r>
    </w:p>
    <w:p>
      <w:pPr>
        <w:pStyle w:val="PR2"/>
        <w:numPr>
          <w:ilvl w:val="5"/>
          <w:numId w:val="1"/>
        </w:numPr>
        <w:rPr/>
      </w:pPr>
      <w:r>
        <w:rPr/>
        <w:t>Protect installed tiles from traffic until adhesive has set.</w:t>
      </w:r>
    </w:p>
    <w:p>
      <w:pPr>
        <w:pStyle w:val="ART"/>
        <w:numPr>
          <w:ilvl w:val="3"/>
          <w:numId w:val="1"/>
        </w:numPr>
        <w:ind w:hanging="0" w:left="0"/>
        <w:rPr/>
      </w:pPr>
      <w:r>
        <w:rPr/>
        <w:t>INSTALLATION OF DETECTABLE WARNING MATS</w:t>
      </w:r>
    </w:p>
    <w:p>
      <w:pPr>
        <w:pStyle w:val="PR1"/>
        <w:numPr>
          <w:ilvl w:val="4"/>
          <w:numId w:val="1"/>
        </w:numPr>
        <w:rPr/>
      </w:pPr>
      <w:r>
        <w:rPr/>
        <w:t>Lay out detectable warning mats as indicated and mark concrete pavement at edges of mats.</w:t>
      </w:r>
    </w:p>
    <w:p>
      <w:pPr>
        <w:pStyle w:val="PR1"/>
        <w:numPr>
          <w:ilvl w:val="4"/>
          <w:numId w:val="1"/>
        </w:numPr>
        <w:rPr/>
      </w:pPr>
      <w:r>
        <w:rPr/>
        <w:t>Prepare existing paving surface by grinding and cleaning as recommended by manufacturer.</w:t>
      </w:r>
    </w:p>
    <w:p>
      <w:pPr>
        <w:pStyle w:val="PR1"/>
        <w:numPr>
          <w:ilvl w:val="4"/>
          <w:numId w:val="1"/>
        </w:numPr>
        <w:rPr/>
      </w:pPr>
      <w:r>
        <w:rPr/>
        <w:t>Apply adhesive to back of mat in amounts and pattern recommended by manufacturer, and set mat in place. Firmly seat mat in adhesive bed, eliminating air pockets and establishing full adhesion to pavement. If necessary, temporarily apply weight to mat to ensure full contact with adhesive.</w:t>
      </w:r>
    </w:p>
    <w:p>
      <w:pPr>
        <w:pStyle w:val="PR1"/>
        <w:numPr>
          <w:ilvl w:val="4"/>
          <w:numId w:val="1"/>
        </w:numPr>
        <w:rPr/>
      </w:pPr>
      <w:r>
        <w:rPr/>
        <w:t>Install anchor devices through face of mat and into pavement using anchors located as recommended by manufacturer. Set heads of anchors flush with mat surface.</w:t>
      </w:r>
    </w:p>
    <w:p>
      <w:pPr>
        <w:pStyle w:val="PR1"/>
        <w:numPr>
          <w:ilvl w:val="4"/>
          <w:numId w:val="1"/>
        </w:numPr>
        <w:rPr/>
      </w:pPr>
      <w:r>
        <w:rPr/>
        <w:t>Mask mat perimeter and adjacent concrete, and apply sealant in continuous bead around perimeter of mat.</w:t>
      </w:r>
    </w:p>
    <w:p>
      <w:pPr>
        <w:pStyle w:val="PR1"/>
        <w:numPr>
          <w:ilvl w:val="4"/>
          <w:numId w:val="1"/>
        </w:numPr>
        <w:rPr/>
      </w:pPr>
      <w:r>
        <w:rPr/>
        <w:t>Remove masking, adhesive, excess sealant, and soil from exposed surfaces of detectable warning mat and surrounding concrete pavement using cleaning agents recommended in writing by manufacturer.</w:t>
      </w:r>
    </w:p>
    <w:p>
      <w:pPr>
        <w:pStyle w:val="PR1"/>
        <w:numPr>
          <w:ilvl w:val="4"/>
          <w:numId w:val="1"/>
        </w:numPr>
        <w:rPr/>
      </w:pPr>
      <w:r>
        <w:rPr/>
        <w:t>Protect installed mat from traffic until adhesive has set.</w:t>
      </w:r>
    </w:p>
    <w:p>
      <w:pPr>
        <w:pStyle w:val="ART"/>
        <w:numPr>
          <w:ilvl w:val="3"/>
          <w:numId w:val="1"/>
        </w:numPr>
        <w:ind w:hanging="0" w:left="0"/>
        <w:rPr/>
      </w:pPr>
      <w:r>
        <w:rPr/>
        <w:t>INSTALLATION OF DETECTABLE WARNING UNIT PAVERS</w:t>
      </w:r>
    </w:p>
    <w:p>
      <w:pPr>
        <w:pStyle w:val="PR1"/>
        <w:numPr>
          <w:ilvl w:val="4"/>
          <w:numId w:val="1"/>
        </w:numPr>
        <w:rPr/>
      </w:pPr>
      <w:r>
        <w:rPr/>
        <w:t>Unit Paver Installation, General:</w:t>
      </w:r>
    </w:p>
    <w:p>
      <w:pPr>
        <w:pStyle w:val="CMT"/>
        <w:rPr/>
      </w:pPr>
      <w:r>
        <w:rPr/>
        <w:t>Retain "Setting-Bed and Unit Paver Installation" Subparagraph below if installation instructions located in Section 321400 "Unit Paving" apply to Work, and delete remaining text in article.</w:t>
      </w:r>
    </w:p>
    <w:p>
      <w:pPr>
        <w:pStyle w:val="PR2"/>
        <w:numPr>
          <w:ilvl w:val="5"/>
          <w:numId w:val="1"/>
        </w:numPr>
        <w:spacing w:before="240" w:after="0"/>
        <w:rPr/>
      </w:pPr>
      <w:r>
        <w:rPr/>
        <w:t>Setting-Bed and Unit Paver Installation: Comply with installation requirements in Section 321400 "Unit Paving."</w:t>
      </w:r>
    </w:p>
    <w:p>
      <w:pPr>
        <w:pStyle w:val="PR2"/>
        <w:numPr>
          <w:ilvl w:val="5"/>
          <w:numId w:val="1"/>
        </w:numPr>
        <w:rPr/>
      </w:pPr>
      <w:r>
        <w:rPr/>
        <w:t>Mix unit pavers from several pallets or cubes, as they are placed, to produce uniform blend of colors and textures.</w:t>
      </w:r>
    </w:p>
    <w:p>
      <w:pPr>
        <w:pStyle w:val="PR2"/>
        <w:numPr>
          <w:ilvl w:val="5"/>
          <w:numId w:val="1"/>
        </w:numPr>
        <w:rPr/>
      </w:pPr>
      <w:r>
        <w:rPr/>
        <w:t>Cut unit pavers with motor-driven masonry saw equipment to provide pattern indicated and to fit adjoining work neatly. Use full units without cutting where possible.</w:t>
      </w:r>
    </w:p>
    <w:p>
      <w:pPr>
        <w:pStyle w:val="PR2"/>
        <w:numPr>
          <w:ilvl w:val="5"/>
          <w:numId w:val="1"/>
        </w:numPr>
        <w:rPr/>
      </w:pPr>
      <w:r>
        <w:rPr/>
        <w:t xml:space="preserve">Tolerances: Do not exceed </w:t>
      </w:r>
      <w:r>
        <w:rPr>
          <w:rStyle w:val="IP"/>
        </w:rPr>
        <w:t>1/4 inch in 10 feet</w:t>
      </w:r>
      <w:r>
        <w:rPr>
          <w:rStyle w:val="SI"/>
        </w:rPr>
        <w:t xml:space="preserve"> (6 mm in 3 m)</w:t>
      </w:r>
      <w:r>
        <w:rPr/>
        <w:t xml:space="preserve"> from level, or indicated slope, for finished surface of paving.</w:t>
      </w:r>
    </w:p>
    <w:p>
      <w:pPr>
        <w:pStyle w:val="CMT"/>
        <w:rPr/>
      </w:pPr>
      <w:r>
        <w:rPr/>
        <w:t>Retain "Aggregate Setting-Bed Applications" or "Mortar Setting-Bed Applications" Paragraph below as required for Project.</w:t>
      </w:r>
    </w:p>
    <w:p>
      <w:pPr>
        <w:pStyle w:val="PR1"/>
        <w:numPr>
          <w:ilvl w:val="4"/>
          <w:numId w:val="1"/>
        </w:numPr>
        <w:rPr/>
      </w:pPr>
      <w:r>
        <w:rPr/>
        <w:t>Aggregate Setting-Bed Applications:</w:t>
      </w:r>
    </w:p>
    <w:p>
      <w:pPr>
        <w:pStyle w:val="PR2"/>
        <w:numPr>
          <w:ilvl w:val="5"/>
          <w:numId w:val="1"/>
        </w:numPr>
        <w:spacing w:before="240" w:after="0"/>
        <w:rPr/>
      </w:pPr>
      <w:r>
        <w:rPr/>
        <w:t>Place aggregate base, compact by tamping with plate vibrator, and screed to depth indicated.</w:t>
      </w:r>
    </w:p>
    <w:p>
      <w:pPr>
        <w:pStyle w:val="PR2"/>
        <w:numPr>
          <w:ilvl w:val="5"/>
          <w:numId w:val="1"/>
        </w:numPr>
        <w:rPr/>
      </w:pPr>
      <w:r>
        <w:rPr/>
        <w:t xml:space="preserve">Place leveling course and screed to a thickness of </w:t>
      </w:r>
      <w:r>
        <w:rPr>
          <w:rStyle w:val="IP"/>
        </w:rPr>
        <w:t>1 to 1-1/2 inches</w:t>
      </w:r>
      <w:r>
        <w:rPr>
          <w:rStyle w:val="SI"/>
        </w:rPr>
        <w:t xml:space="preserve"> (25 to 38 mm)</w:t>
      </w:r>
      <w:r>
        <w:rPr/>
        <w:t>, taking care that moisture content remains constant and density is loose and uniform until unit pavers are set and compacted.</w:t>
      </w:r>
    </w:p>
    <w:p>
      <w:pPr>
        <w:pStyle w:val="PR2"/>
        <w:numPr>
          <w:ilvl w:val="5"/>
          <w:numId w:val="1"/>
        </w:numPr>
        <w:rPr/>
      </w:pPr>
      <w:r>
        <w:rPr/>
        <w:t>Treat leveling course with herbicide to inhibit growth of grass and weeds.</w:t>
      </w:r>
    </w:p>
    <w:p>
      <w:pPr>
        <w:pStyle w:val="PR2"/>
        <w:numPr>
          <w:ilvl w:val="5"/>
          <w:numId w:val="1"/>
        </w:numPr>
        <w:rPr/>
      </w:pPr>
      <w:r>
        <w:rPr/>
        <w:t xml:space="preserve">Set unit pavers with a minimum joint width of </w:t>
      </w:r>
      <w:r>
        <w:rPr>
          <w:rStyle w:val="IP"/>
        </w:rPr>
        <w:t>1/16 inch</w:t>
      </w:r>
      <w:r>
        <w:rPr>
          <w:rStyle w:val="SI"/>
        </w:rPr>
        <w:t xml:space="preserve"> (1.5 mm)</w:t>
      </w:r>
      <w:r>
        <w:rPr/>
        <w:t xml:space="preserve"> and a maximum of </w:t>
      </w:r>
      <w:r>
        <w:rPr>
          <w:rStyle w:val="IP"/>
        </w:rPr>
        <w:t>1/8 inch</w:t>
      </w:r>
      <w:r>
        <w:rPr>
          <w:rStyle w:val="SI"/>
        </w:rPr>
        <w:t xml:space="preserve"> (3 mm)</w:t>
      </w:r>
      <w:r>
        <w:rPr/>
        <w:t>, being careful not to disturb leveling base. If pavers have spacer bars, place pavers hand tight against spacer bars. Use string lines to keep straight lines.</w:t>
      </w:r>
    </w:p>
    <w:p>
      <w:pPr>
        <w:pStyle w:val="CMT"/>
        <w:rPr/>
      </w:pPr>
      <w:r>
        <w:rPr/>
        <w:t>Revise first subparagraph below for unit pavers installed over waterproofing if required.</w:t>
      </w:r>
    </w:p>
    <w:p>
      <w:pPr>
        <w:pStyle w:val="PR2"/>
        <w:numPr>
          <w:ilvl w:val="5"/>
          <w:numId w:val="1"/>
        </w:numPr>
        <w:rPr/>
      </w:pPr>
      <w:r>
        <w:rPr/>
        <w:t xml:space="preserve">Vibrate pavers into leveling course with a low-amplitude plate vibrator capable of a </w:t>
      </w:r>
      <w:r>
        <w:rPr>
          <w:rStyle w:val="IP"/>
        </w:rPr>
        <w:t>3500- to 5000-lbf</w:t>
      </w:r>
      <w:r>
        <w:rPr>
          <w:rStyle w:val="SI"/>
        </w:rPr>
        <w:t xml:space="preserve"> (16- to 22-kN)</w:t>
      </w:r>
      <w:r>
        <w:rPr/>
        <w:t xml:space="preserve"> compaction force at 80 to 90 Hz.</w:t>
      </w:r>
    </w:p>
    <w:p>
      <w:pPr>
        <w:pStyle w:val="PR2"/>
        <w:numPr>
          <w:ilvl w:val="5"/>
          <w:numId w:val="1"/>
        </w:numPr>
        <w:rPr/>
      </w:pPr>
      <w:r>
        <w:rPr/>
        <w:t>Spread dry sand and fill joints immediately after vibrating pavers into leveling course. Vibrate pavers and add sand until joints are completely filled, then remove excess sand. Leave a slight surplus of sand on the surface for joint filling.</w:t>
      </w:r>
    </w:p>
    <w:p>
      <w:pPr>
        <w:pStyle w:val="PR1"/>
        <w:numPr>
          <w:ilvl w:val="4"/>
          <w:numId w:val="1"/>
        </w:numPr>
        <w:rPr/>
      </w:pPr>
      <w:r>
        <w:rPr/>
        <w:t>Mortar Setting-Bed Applications:</w:t>
      </w:r>
    </w:p>
    <w:p>
      <w:pPr>
        <w:pStyle w:val="PR2"/>
        <w:numPr>
          <w:ilvl w:val="5"/>
          <w:numId w:val="1"/>
        </w:numPr>
        <w:spacing w:before="240" w:after="0"/>
        <w:rPr/>
      </w:pPr>
      <w:r>
        <w:rPr/>
        <w:t>Saturate concrete subbase with clean water several hours before placing setting bed. Remove surface water about one hour before placing setting bed.</w:t>
      </w:r>
    </w:p>
    <w:p>
      <w:pPr>
        <w:pStyle w:val="PR2"/>
        <w:numPr>
          <w:ilvl w:val="5"/>
          <w:numId w:val="1"/>
        </w:numPr>
        <w:rPr/>
      </w:pPr>
      <w:r>
        <w:rPr/>
        <w:t xml:space="preserve">Apply mortar-bed bond coat over surface of concrete subbase about 15 minutes before placing mortar bed. Limit area of bond coat to avoid its drying out before placing setting bed. Do not exceed </w:t>
      </w:r>
      <w:r>
        <w:rPr>
          <w:rStyle w:val="IP"/>
        </w:rPr>
        <w:t>1/16-inch</w:t>
      </w:r>
      <w:r>
        <w:rPr>
          <w:rStyle w:val="SI"/>
        </w:rPr>
        <w:t xml:space="preserve"> (1.6-mm)</w:t>
      </w:r>
      <w:r>
        <w:rPr/>
        <w:t xml:space="preserve"> thickness for bond coat.</w:t>
      </w:r>
    </w:p>
    <w:p>
      <w:pPr>
        <w:pStyle w:val="PR2"/>
        <w:numPr>
          <w:ilvl w:val="5"/>
          <w:numId w:val="1"/>
        </w:numPr>
        <w:rPr/>
      </w:pPr>
      <w:r>
        <w:rPr/>
        <w:t>Apply mortar bed over bond coat; spread and screed mortar bed to uniform thickness at subgrade elevations required for accurate setting of pavers to finished grades indicated.</w:t>
      </w:r>
    </w:p>
    <w:p>
      <w:pPr>
        <w:pStyle w:val="PR2"/>
        <w:numPr>
          <w:ilvl w:val="5"/>
          <w:numId w:val="1"/>
        </w:numPr>
        <w:rPr/>
      </w:pPr>
      <w:r>
        <w:rPr/>
        <w:t>Mix and place only that amount of mortar bed that can be covered with pavers before initial set. Before placing pavers, cut back, bevel edge, and remove and discard setting-bed material that has reached initial set.</w:t>
      </w:r>
    </w:p>
    <w:p>
      <w:pPr>
        <w:pStyle w:val="PR2"/>
        <w:numPr>
          <w:ilvl w:val="5"/>
          <w:numId w:val="1"/>
        </w:numPr>
        <w:rPr/>
      </w:pPr>
      <w:r>
        <w:rPr/>
        <w:t xml:space="preserve">Place pavers before initial set of cement occurs. Immediately before placing pavers on mortar bed, apply uniform </w:t>
      </w:r>
      <w:r>
        <w:rPr>
          <w:rStyle w:val="IP"/>
        </w:rPr>
        <w:t>1/16-inch-</w:t>
      </w:r>
      <w:r>
        <w:rPr>
          <w:rStyle w:val="SI"/>
        </w:rPr>
        <w:t xml:space="preserve"> (1.5-mm-)</w:t>
      </w:r>
      <w:r>
        <w:rPr/>
        <w:t xml:space="preserve"> thick bond coat to mortar bed or to back of each paver with a flat trowel.</w:t>
      </w:r>
    </w:p>
    <w:p>
      <w:pPr>
        <w:pStyle w:val="PR2"/>
        <w:numPr>
          <w:ilvl w:val="5"/>
          <w:numId w:val="1"/>
        </w:numPr>
        <w:rPr/>
      </w:pPr>
      <w:r>
        <w:rPr/>
        <w:t>Tamp or beat pavers with a wooden block or rubber mallet to obtain full contact with setting bed and to bring finished surfaces within indicated tolerances. Set each paver in a single operation before initial set of mortar; do not return to areas already set or disturb pavers for purposes of realigning finished surfaces or adjusting joints.</w:t>
      </w:r>
    </w:p>
    <w:p>
      <w:pPr>
        <w:pStyle w:val="CMT"/>
        <w:rPr/>
      </w:pPr>
      <w:r>
        <w:rPr/>
        <w:t>Joint widths in "Spaced Joint Widths" Subparagraph below are examples only. Retain tolerance to suit manufacturing tolerances of pavers.</w:t>
      </w:r>
    </w:p>
    <w:p>
      <w:pPr>
        <w:pStyle w:val="PR2"/>
        <w:numPr>
          <w:ilvl w:val="5"/>
          <w:numId w:val="1"/>
        </w:numPr>
        <w:rPr/>
      </w:pPr>
      <w:r>
        <w:rPr/>
        <w:t>Spaced Joint Widths: Provide [</w:t>
      </w:r>
      <w:r>
        <w:rPr>
          <w:rStyle w:val="IP"/>
          <w:b/>
        </w:rPr>
        <w:t>3/8-inch</w:t>
      </w:r>
      <w:r>
        <w:rPr>
          <w:rStyle w:val="SI"/>
          <w:b/>
        </w:rPr>
        <w:t xml:space="preserve"> (10-mm)</w:t>
      </w:r>
      <w:r>
        <w:rPr/>
        <w:t>] [</w:t>
      </w:r>
      <w:r>
        <w:rPr>
          <w:rStyle w:val="IP"/>
          <w:b/>
        </w:rPr>
        <w:t>1/2-inch</w:t>
      </w:r>
      <w:r>
        <w:rPr>
          <w:rStyle w:val="SI"/>
          <w:b/>
        </w:rPr>
        <w:t xml:space="preserve"> (13-mm)</w:t>
      </w:r>
      <w:r>
        <w:rPr/>
        <w:t>] nominal joint width with variations not exceeding plus or minus [</w:t>
      </w:r>
      <w:r>
        <w:rPr>
          <w:rStyle w:val="IP"/>
          <w:b/>
        </w:rPr>
        <w:t>1/16 inch</w:t>
      </w:r>
      <w:r>
        <w:rPr>
          <w:rStyle w:val="SI"/>
          <w:b/>
        </w:rPr>
        <w:t xml:space="preserve"> (1.5 mm)</w:t>
      </w:r>
      <w:r>
        <w:rPr/>
        <w:t>] [</w:t>
      </w:r>
      <w:r>
        <w:rPr>
          <w:rStyle w:val="IP"/>
          <w:b/>
        </w:rPr>
        <w:t>1/8 inch</w:t>
      </w:r>
      <w:r>
        <w:rPr>
          <w:rStyle w:val="SI"/>
          <w:b/>
        </w:rPr>
        <w:t xml:space="preserve"> (3 mm)</w:t>
      </w:r>
      <w:r>
        <w:rPr/>
        <w:t>].</w:t>
      </w:r>
    </w:p>
    <w:p>
      <w:pPr>
        <w:pStyle w:val="CMT"/>
        <w:rPr/>
      </w:pPr>
      <w:r>
        <w:rPr/>
        <w:t>Retain "Grouted Joints" Subparagraph and three following subparagraphs if mortar setting-bed application includes grouted joints.</w:t>
      </w:r>
    </w:p>
    <w:p>
      <w:pPr>
        <w:pStyle w:val="PR2"/>
        <w:numPr>
          <w:ilvl w:val="5"/>
          <w:numId w:val="1"/>
        </w:numPr>
        <w:rPr/>
      </w:pPr>
      <w:r>
        <w:rPr/>
        <w:t>Grouted Joints: Grout paver joints complying with ANSI A108.10. Grout joints as soon as possible after initial set of setting bed.</w:t>
      </w:r>
    </w:p>
    <w:p>
      <w:pPr>
        <w:pStyle w:val="PR3"/>
        <w:numPr>
          <w:ilvl w:val="6"/>
          <w:numId w:val="1"/>
        </w:numPr>
        <w:spacing w:before="240" w:after="0"/>
        <w:rPr/>
      </w:pPr>
      <w:r>
        <w:rPr/>
        <w:t>Force grout into joints, taking care not to smear grout on adjoining surfaces.</w:t>
      </w:r>
    </w:p>
    <w:p>
      <w:pPr>
        <w:pStyle w:val="PR3"/>
        <w:numPr>
          <w:ilvl w:val="6"/>
          <w:numId w:val="1"/>
        </w:numPr>
        <w:rPr/>
      </w:pPr>
      <w:r>
        <w:rPr/>
        <w:t>Tool exposed joints slightly concave when thumbprint hard.</w:t>
      </w:r>
    </w:p>
    <w:p>
      <w:pPr>
        <w:pStyle w:val="PR3"/>
        <w:numPr>
          <w:ilvl w:val="6"/>
          <w:numId w:val="1"/>
        </w:numPr>
        <w:rPr/>
      </w:pPr>
      <w:r>
        <w:rPr/>
        <w:t>Cure grout by maintaining in a damp condition for seven days unless otherwise recommended by grout or liquid-latex manufacturer.</w:t>
      </w:r>
    </w:p>
    <w:p>
      <w:pPr>
        <w:pStyle w:val="PR2"/>
        <w:numPr>
          <w:ilvl w:val="5"/>
          <w:numId w:val="1"/>
        </w:numPr>
        <w:spacing w:before="240" w:after="0"/>
        <w:rPr/>
      </w:pPr>
      <w:r>
        <w:rPr/>
        <w:t>Remove excess grout from exposed paver surfaces; wash and scrub clean.</w:t>
      </w:r>
    </w:p>
    <w:p>
      <w:pPr>
        <w:pStyle w:val="PR2"/>
        <w:numPr>
          <w:ilvl w:val="5"/>
          <w:numId w:val="1"/>
        </w:numPr>
        <w:rPr/>
      </w:pPr>
      <w:r>
        <w:rPr/>
        <w:t>Protect installation from traffic until grout has set.</w:t>
      </w:r>
    </w:p>
    <w:p>
      <w:pPr>
        <w:pStyle w:val="ART"/>
        <w:numPr>
          <w:ilvl w:val="3"/>
          <w:numId w:val="1"/>
        </w:numPr>
        <w:ind w:hanging="0" w:left="0"/>
        <w:rPr/>
      </w:pPr>
      <w:r>
        <w:rPr/>
        <w:t>CLEANING AND PROTECTION</w:t>
      </w:r>
    </w:p>
    <w:p>
      <w:pPr>
        <w:pStyle w:val="PR1"/>
        <w:numPr>
          <w:ilvl w:val="4"/>
          <w:numId w:val="1"/>
        </w:numPr>
        <w:rPr/>
      </w:pPr>
      <w:r>
        <w:rPr/>
        <w:t>Remove and replace tactile warning surfacing that is broken or damaged or does not comply with requirements in this Section. Remove in complete sections from joint to joint unless otherwise approved by Architect. Replace using tactile warning surfacing installation methods acceptable to Architect.</w:t>
      </w:r>
    </w:p>
    <w:p>
      <w:pPr>
        <w:pStyle w:val="PR1"/>
        <w:numPr>
          <w:ilvl w:val="4"/>
          <w:numId w:val="1"/>
        </w:numPr>
        <w:rPr/>
      </w:pPr>
      <w:r>
        <w:rPr/>
        <w:t>Protect tactile warning surfacing from damage and maintain free of stains, discoloration, dirt, and other foreign material.</w:t>
      </w:r>
    </w:p>
    <w:p>
      <w:pPr>
        <w:pStyle w:val="EOS"/>
        <w:rPr/>
      </w:pPr>
      <w:r>
        <w:rPr/>
        <w:t>END OF SECTION 321726</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TACTILE WARNING SURFACING</w:t>
          </w:r>
        </w:p>
      </w:tc>
      <w:tc>
        <w:tcPr>
          <w:tcW w:w="1872" w:type="dxa"/>
          <w:tcBorders/>
        </w:tcPr>
        <w:p>
          <w:pPr>
            <w:pStyle w:val="RJUST"/>
            <w:rPr/>
          </w:pPr>
          <w:r>
            <w:rPr>
              <w:rStyle w:val="NUM"/>
            </w:rPr>
            <w:t>321726</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321726"/>
    <w:docVar w:name="MF95" w:val="02846"/>
    <w:docVar w:name="MFOrigin" w:val="MF04"/>
    <w:docVar w:name="SectionID" w:val="3215"/>
    <w:docVar w:name="SpecType" w:val="MasterSpec"/>
    <w:docVar w:name="Version" w:val="140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726&amp;ver=06-01-18&amp;format=FL&amp;sid=14089&amp;utm_source=MasterSpec&amp;utm_medium=Word" TargetMode="External"/><Relationship Id="rId3" Type="http://schemas.openxmlformats.org/officeDocument/2006/relationships/hyperlink" Target="http://www.productmasterspec.com/construction_specifications?mf04=321726&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0" TargetMode="External"/><Relationship Id="rId7" Type="http://schemas.openxmlformats.org/officeDocument/2006/relationships/hyperlink" Target="http://www.arcomnet.com/sustainable_design.aspx?topic=157" TargetMode="External"/><Relationship Id="rId8" Type="http://schemas.openxmlformats.org/officeDocument/2006/relationships/hyperlink" Target="http://www.specagent.com/LookUp/?ulid=9469&amp;mf=04&amp;src=wd" TargetMode="External"/><Relationship Id="rId9" Type="http://schemas.openxmlformats.org/officeDocument/2006/relationships/hyperlink" Target="http://www.specagent.com/LookUp/?ulid=9470&amp;mf=04&amp;src=wd" TargetMode="External"/><Relationship Id="rId10" Type="http://schemas.openxmlformats.org/officeDocument/2006/relationships/hyperlink" Target="http://www.specagent.com/LookUp/?ulid=9471&amp;mf=04&amp;src=wd" TargetMode="External"/><Relationship Id="rId11" Type="http://schemas.openxmlformats.org/officeDocument/2006/relationships/hyperlink" Target="http://www.specagent.com/LookUp/?ulid=9472&amp;mf=04&amp;src=wd" TargetMode="External"/><Relationship Id="rId12" Type="http://schemas.openxmlformats.org/officeDocument/2006/relationships/hyperlink" Target="http://www.specagent.com/LookUp/?ulid=9473&amp;mf=04&amp;src=wd" TargetMode="External"/><Relationship Id="rId13" Type="http://schemas.openxmlformats.org/officeDocument/2006/relationships/hyperlink" Target="http://www.specagent.com/LookUp/?ulid=9474&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2022-09-26T03:52:00Z</dcterms:created>
  <dc:creator>Deltek, Inc.</dc:creator>
  <dc:description/>
  <cp:keywords>BAS-12345-MS80</cp:keywords>
  <dc:language>zh-CN</dc:language>
  <cp:lastModifiedBy>Janice Nacional</cp:lastModifiedBy>
  <dcterms:modified xsi:type="dcterms:W3CDTF">2022-09-26T03:52:00Z</dcterms:modified>
  <cp:revision>2</cp:revision>
  <dc:subject>TACTILE WARNING SURFACING</dc:subject>
  <dc:title>SECTION 321726 - TACTILE WARNING SURFACING</dc:title>
</cp:coreProperties>
</file>