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2022 by The American Institute of Architects (AIA)</w:t>
      </w:r>
    </w:p>
    <w:p>
      <w:pPr>
        <w:pStyle w:val="CMT"/>
        <w:rPr/>
      </w:pPr>
      <w:r>
        <w:rPr/>
        <w:t>Exclusively published and distributed by Deltek, Inc. for the AIA</w:t>
      </w:r>
    </w:p>
    <w:p>
      <w:pPr>
        <w:pStyle w:val="SCT"/>
        <w:rPr/>
      </w:pPr>
      <w:r>
        <w:rPr/>
        <w:t xml:space="preserve">SECTION </w:t>
      </w:r>
      <w:r>
        <w:rPr>
          <w:rStyle w:val="NUM"/>
        </w:rPr>
        <w:t>321813</w:t>
      </w:r>
      <w:r>
        <w:rPr/>
        <w:t xml:space="preserve"> - </w:t>
      </w:r>
      <w:r>
        <w:rPr>
          <w:rStyle w:val="NAM"/>
        </w:rPr>
        <w:t>SYNTHETIC GRASS SURFACING</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Synthetic grass surfacing.</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312000 "Earth Moving" for preparation, compaction, and grading of granular base.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Synthetic grass surfacing.</w:t>
      </w:r>
    </w:p>
    <w:p>
      <w:pPr>
        <w:pStyle w:val="PR1"/>
        <w:numPr>
          <w:ilvl w:val="4"/>
          <w:numId w:val="1"/>
        </w:numPr>
        <w:rPr/>
      </w:pPr>
      <w:r>
        <w:rPr/>
        <w:t>Shop Drawings: For synthetic grass surfacing.</w:t>
      </w:r>
    </w:p>
    <w:p>
      <w:pPr>
        <w:pStyle w:val="PR2"/>
        <w:numPr>
          <w:ilvl w:val="5"/>
          <w:numId w:val="1"/>
        </w:numPr>
        <w:spacing w:before="240" w:after="0"/>
        <w:rPr/>
      </w:pPr>
      <w:r>
        <w:rPr/>
        <w:t>Include sections and details.</w:t>
      </w:r>
    </w:p>
    <w:p>
      <w:pPr>
        <w:pStyle w:val="PR2"/>
        <w:numPr>
          <w:ilvl w:val="5"/>
          <w:numId w:val="1"/>
        </w:numPr>
        <w:rPr/>
      </w:pPr>
      <w:r>
        <w:rPr/>
        <w:t>Show locations of seams and method of seaming.</w:t>
      </w:r>
    </w:p>
    <w:p>
      <w:pPr>
        <w:pStyle w:val="PR2"/>
        <w:numPr>
          <w:ilvl w:val="5"/>
          <w:numId w:val="1"/>
        </w:numPr>
        <w:rPr/>
      </w:pPr>
      <w:r>
        <w:rPr/>
        <w:t>Show layout of game lines, numbers, and letters. Indicate application method of each line and marking.</w:t>
      </w:r>
    </w:p>
    <w:p>
      <w:pPr>
        <w:pStyle w:val="PR2"/>
        <w:numPr>
          <w:ilvl w:val="5"/>
          <w:numId w:val="1"/>
        </w:numPr>
        <w:rPr/>
      </w:pPr>
      <w:r>
        <w:rPr/>
        <w:t>Show location and layout of team logo/graphics.</w:t>
      </w:r>
    </w:p>
    <w:p>
      <w:pPr>
        <w:pStyle w:val="PR1"/>
        <w:numPr>
          <w:ilvl w:val="4"/>
          <w:numId w:val="1"/>
        </w:numPr>
        <w:rPr/>
      </w:pPr>
      <w:r>
        <w:rPr/>
        <w:t>Samples: For each type of synthetic grass surfacing indicated.</w:t>
      </w:r>
    </w:p>
    <w:p>
      <w:pPr>
        <w:pStyle w:val="PR2"/>
        <w:numPr>
          <w:ilvl w:val="5"/>
          <w:numId w:val="1"/>
        </w:numPr>
        <w:spacing w:before="240" w:after="0"/>
        <w:rPr/>
      </w:pPr>
      <w:r>
        <w:rPr/>
        <w:t>Turf Fabric: [</w:t>
      </w:r>
      <w:r>
        <w:rPr>
          <w:rStyle w:val="IP"/>
          <w:b/>
        </w:rPr>
        <w:t>12 inches</w:t>
      </w:r>
      <w:r>
        <w:rPr>
          <w:rStyle w:val="SI"/>
          <w:b/>
        </w:rPr>
        <w:t xml:space="preserve"> (300 mm)</w:t>
      </w:r>
      <w:r>
        <w:rPr/>
        <w:t>] &lt;</w:t>
      </w:r>
      <w:r>
        <w:rPr>
          <w:b/>
        </w:rPr>
        <w:t>Insert dimension</w:t>
      </w:r>
      <w:r>
        <w:rPr/>
        <w:t>&gt; square.</w:t>
      </w:r>
    </w:p>
    <w:p>
      <w:pPr>
        <w:pStyle w:val="PR2"/>
        <w:numPr>
          <w:ilvl w:val="5"/>
          <w:numId w:val="1"/>
        </w:numPr>
        <w:rPr/>
      </w:pPr>
      <w:r>
        <w:rPr/>
        <w:t>Game Line Turf Fabric: [</w:t>
      </w:r>
      <w:r>
        <w:rPr>
          <w:rStyle w:val="IP"/>
          <w:b/>
        </w:rPr>
        <w:t>12 inches</w:t>
      </w:r>
      <w:r>
        <w:rPr>
          <w:rStyle w:val="SI"/>
          <w:b/>
        </w:rPr>
        <w:t xml:space="preserve"> (300 mm)</w:t>
      </w:r>
      <w:r>
        <w:rPr/>
        <w:t>] &lt;</w:t>
      </w:r>
      <w:r>
        <w:rPr>
          <w:b/>
        </w:rPr>
        <w:t>Insert dimension</w:t>
      </w:r>
      <w:r>
        <w:rPr/>
        <w:t>&gt; long by actual width.</w:t>
      </w:r>
    </w:p>
    <w:p>
      <w:pPr>
        <w:pStyle w:val="PR2"/>
        <w:numPr>
          <w:ilvl w:val="5"/>
          <w:numId w:val="1"/>
        </w:numPr>
        <w:rPr/>
      </w:pPr>
      <w:r>
        <w:rPr/>
        <w:t>Infill Material: [</w:t>
      </w:r>
      <w:r>
        <w:rPr>
          <w:rStyle w:val="IP"/>
          <w:b/>
        </w:rPr>
        <w:t>4 oz.</w:t>
      </w:r>
      <w:r>
        <w:rPr>
          <w:rStyle w:val="SI"/>
          <w:b/>
        </w:rPr>
        <w:t xml:space="preserve"> (100 g)</w:t>
      </w:r>
      <w:r>
        <w:rPr/>
        <w:t>] &lt;</w:t>
      </w:r>
      <w:r>
        <w:rPr>
          <w:b/>
        </w:rPr>
        <w:t>Insert quantity</w:t>
      </w:r>
      <w:r>
        <w:rPr/>
        <w:t>&gt; of each type.</w:t>
      </w:r>
    </w:p>
    <w:p>
      <w:pPr>
        <w:pStyle w:val="CMT"/>
        <w:rPr/>
      </w:pPr>
      <w:r>
        <w:rPr/>
        <w:t>Retain "Shock-Attenuation Pad" Subparagraph below if such pads are included in synthetic grass surfacing assembly.</w:t>
      </w:r>
    </w:p>
    <w:p>
      <w:pPr>
        <w:pStyle w:val="PR2"/>
        <w:numPr>
          <w:ilvl w:val="5"/>
          <w:numId w:val="1"/>
        </w:numPr>
        <w:rPr/>
      </w:pPr>
      <w:r>
        <w:rPr/>
        <w:t>Shock-Attenuation Pad: [</w:t>
      </w:r>
      <w:r>
        <w:rPr>
          <w:rStyle w:val="IP"/>
          <w:b/>
        </w:rPr>
        <w:t>12 inches</w:t>
      </w:r>
      <w:r>
        <w:rPr>
          <w:rStyle w:val="SI"/>
          <w:b/>
        </w:rPr>
        <w:t xml:space="preserve"> (300 mm)</w:t>
      </w:r>
      <w:r>
        <w:rPr/>
        <w:t>] &lt;</w:t>
      </w:r>
      <w:r>
        <w:rPr>
          <w:b/>
        </w:rPr>
        <w:t>Insert dimension</w:t>
      </w:r>
      <w:r>
        <w:rPr/>
        <w:t>&gt; square.</w:t>
      </w:r>
    </w:p>
    <w:p>
      <w:pPr>
        <w:pStyle w:val="CMT"/>
        <w:rPr/>
      </w:pPr>
      <w:r>
        <w:rPr/>
        <w:t>Retain "Seam Sample" Subparagraph below if required to verify method and quality of seaming.</w:t>
      </w:r>
    </w:p>
    <w:p>
      <w:pPr>
        <w:pStyle w:val="PR2"/>
        <w:numPr>
          <w:ilvl w:val="5"/>
          <w:numId w:val="1"/>
        </w:numPr>
        <w:rPr/>
      </w:pPr>
      <w:r>
        <w:rPr/>
        <w:t>Seam Sample: [</w:t>
      </w:r>
      <w:r>
        <w:rPr>
          <w:rStyle w:val="IP"/>
          <w:b/>
        </w:rPr>
        <w:t>24 inches</w:t>
      </w:r>
      <w:r>
        <w:rPr>
          <w:rStyle w:val="SI"/>
          <w:b/>
        </w:rPr>
        <w:t xml:space="preserve"> (600 mm)</w:t>
      </w:r>
      <w:r>
        <w:rPr/>
        <w:t>] &lt;</w:t>
      </w:r>
      <w:r>
        <w:rPr>
          <w:b/>
        </w:rPr>
        <w:t>Insert dimension</w:t>
      </w:r>
      <w:r>
        <w:rPr/>
        <w:t>&gt; square with seam centered in sample.</w:t>
      </w:r>
    </w:p>
    <w:p>
      <w:pPr>
        <w:pStyle w:val="ART"/>
        <w:numPr>
          <w:ilvl w:val="3"/>
          <w:numId w:val="1"/>
        </w:numPr>
        <w:ind w:hanging="0" w:left="0"/>
        <w:rPr/>
      </w:pPr>
      <w:r>
        <w:rPr/>
        <w:t>INFORMATIONAL SUBMITTALS</w:t>
      </w:r>
    </w:p>
    <w:p>
      <w:pPr>
        <w:pStyle w:val="CMT"/>
        <w:rPr/>
      </w:pPr>
      <w:r>
        <w:rPr/>
        <w:t>Retain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Installer</w:t>
      </w:r>
      <w:r>
        <w:rPr/>
        <w:t>] [</w:t>
      </w:r>
      <w:r>
        <w:rPr>
          <w:b/>
        </w:rPr>
        <w:t>testing agency</w:t>
      </w:r>
      <w:r>
        <w:rPr/>
        <w:t>].</w:t>
      </w:r>
    </w:p>
    <w:p>
      <w:pPr>
        <w:pStyle w:val="PR1"/>
        <w:numPr>
          <w:ilvl w:val="4"/>
          <w:numId w:val="1"/>
        </w:numPr>
        <w:rPr/>
      </w:pPr>
      <w:r>
        <w:rPr/>
        <w:t>Product Test Reports: For each synthetic grass surfacing assembly.</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synthetic grass surfacing, including maintenance cleaning instructions, to include in maintenance manuals.</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PR2"/>
        <w:numPr>
          <w:ilvl w:val="5"/>
          <w:numId w:val="1"/>
        </w:numPr>
        <w:spacing w:before="240" w:after="0"/>
        <w:rPr/>
      </w:pPr>
      <w:r>
        <w:rPr/>
        <w:t>Turf Fabric: Minimum of [</w:t>
      </w:r>
      <w:r>
        <w:rPr>
          <w:rStyle w:val="IP"/>
          <w:b/>
        </w:rPr>
        <w:t>300 sq. ft.</w:t>
      </w:r>
      <w:r>
        <w:rPr>
          <w:rStyle w:val="SI"/>
          <w:b/>
        </w:rPr>
        <w:t xml:space="preserve"> (28 sq. m)</w:t>
      </w:r>
      <w:r>
        <w:rPr/>
        <w:t>] &lt;</w:t>
      </w:r>
      <w:r>
        <w:rPr>
          <w:b/>
        </w:rPr>
        <w:t>Insert quantity</w:t>
      </w:r>
      <w:r>
        <w:rPr/>
        <w:t>&gt; for each type indicated.</w:t>
      </w:r>
    </w:p>
    <w:p>
      <w:pPr>
        <w:pStyle w:val="PR2"/>
        <w:numPr>
          <w:ilvl w:val="5"/>
          <w:numId w:val="1"/>
        </w:numPr>
        <w:rPr/>
      </w:pPr>
      <w:r>
        <w:rPr/>
        <w:t>Infill: Minimum of [</w:t>
      </w:r>
      <w:r>
        <w:rPr>
          <w:b/>
        </w:rPr>
        <w:t>two</w:t>
      </w:r>
      <w:r>
        <w:rPr/>
        <w:t>] &lt;</w:t>
      </w:r>
      <w:r>
        <w:rPr>
          <w:b/>
        </w:rPr>
        <w:t>Insert number</w:t>
      </w:r>
      <w:r>
        <w:rPr/>
        <w:t>&gt; bags of each type.</w:t>
      </w:r>
    </w:p>
    <w:p>
      <w:pPr>
        <w:pStyle w:val="PR2"/>
        <w:numPr>
          <w:ilvl w:val="5"/>
          <w:numId w:val="1"/>
        </w:numPr>
        <w:rPr/>
      </w:pPr>
      <w:r>
        <w:rPr/>
        <w:t>Seaming Tape and Adhesive: One roll of seaming tape and one gallon of adhesive.</w:t>
      </w:r>
    </w:p>
    <w:p>
      <w:pPr>
        <w:pStyle w:val="PR2"/>
        <w:numPr>
          <w:ilvl w:val="5"/>
          <w:numId w:val="1"/>
        </w:numPr>
        <w:rPr/>
      </w:pPr>
      <w:r>
        <w:rPr/>
        <w:t>One new set of maintenance tools, of type recommended by synthetic grass surfacing manufacturer for installation.</w:t>
      </w:r>
    </w:p>
    <w:p>
      <w:pPr>
        <w:pStyle w:val="ART"/>
        <w:numPr>
          <w:ilvl w:val="3"/>
          <w:numId w:val="1"/>
        </w:numPr>
        <w:ind w:hanging="0" w:left="0"/>
        <w:rPr/>
      </w:pPr>
      <w:r>
        <w:rPr/>
        <w:t>QUALITY ASSURANCE</w:t>
      </w:r>
    </w:p>
    <w:p>
      <w:pPr>
        <w:pStyle w:val="CMT"/>
        <w:rPr/>
      </w:pPr>
      <w:r>
        <w:rPr/>
        <w:t>Retain "Installer Qualifications" Paragraph below if an experienced installer is required for synthetic grass surfacing or for projects with complex visual display unit requirements.</w:t>
      </w:r>
    </w:p>
    <w:p>
      <w:pPr>
        <w:pStyle w:val="PR1"/>
        <w:numPr>
          <w:ilvl w:val="4"/>
          <w:numId w:val="1"/>
        </w:numPr>
        <w:rPr/>
      </w:pPr>
      <w:r>
        <w:rPr/>
        <w:t>Installer Qualifications: An entity that employs installers and supervisors who are trained and approved by manufacturer.</w:t>
      </w:r>
    </w:p>
    <w:p>
      <w:pPr>
        <w:pStyle w:val="ART"/>
        <w:numPr>
          <w:ilvl w:val="3"/>
          <w:numId w:val="1"/>
        </w:numPr>
        <w:ind w:hanging="0" w:left="0"/>
        <w:rPr/>
      </w:pPr>
      <w:r>
        <w:rPr/>
        <w:t>DELIVERY, STORAGE, AND HANDLING</w:t>
      </w:r>
    </w:p>
    <w:p>
      <w:pPr>
        <w:pStyle w:val="PR1"/>
        <w:numPr>
          <w:ilvl w:val="4"/>
          <w:numId w:val="1"/>
        </w:numPr>
        <w:rPr/>
      </w:pPr>
      <w:r>
        <w:rPr/>
        <w:t>Store materials in location and manner to allow installation of synthetic grass surfacing without excess disturbance of granular base.</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synthetic grass surfacing that fails in materials or workmanship within specified warranty period.</w:t>
      </w:r>
    </w:p>
    <w:p>
      <w:pPr>
        <w:pStyle w:val="PR2"/>
        <w:numPr>
          <w:ilvl w:val="5"/>
          <w:numId w:val="1"/>
        </w:numPr>
        <w:spacing w:before="240" w:after="0"/>
        <w:rPr/>
      </w:pPr>
      <w:r>
        <w:rPr/>
        <w:t>Failures include, but are not limited to, the following:</w:t>
      </w:r>
    </w:p>
    <w:p>
      <w:pPr>
        <w:pStyle w:val="CMT"/>
        <w:rPr/>
      </w:pPr>
      <w:r>
        <w:rPr/>
        <w:t>Some manufacturers define excess wear as greater than expected loss of fiber length; others define it by loss of fiber weight or broken fibers. Consult with manufacturers.</w:t>
      </w:r>
    </w:p>
    <w:p>
      <w:pPr>
        <w:pStyle w:val="PR3"/>
        <w:numPr>
          <w:ilvl w:val="6"/>
          <w:numId w:val="1"/>
        </w:numPr>
        <w:spacing w:before="240" w:after="0"/>
        <w:rPr/>
      </w:pPr>
      <w:r>
        <w:rPr/>
        <w:t>Deterioration and excessive wear.</w:t>
      </w:r>
    </w:p>
    <w:p>
      <w:pPr>
        <w:pStyle w:val="PR3"/>
        <w:numPr>
          <w:ilvl w:val="6"/>
          <w:numId w:val="1"/>
        </w:numPr>
        <w:rPr/>
      </w:pPr>
      <w:r>
        <w:rPr/>
        <w:t>Deterioration from UV light.</w:t>
      </w:r>
    </w:p>
    <w:p>
      <w:pPr>
        <w:pStyle w:val="PR3"/>
        <w:numPr>
          <w:ilvl w:val="6"/>
          <w:numId w:val="1"/>
        </w:numPr>
        <w:rPr/>
      </w:pPr>
      <w:r>
        <w:rPr/>
        <w:t>Excessive loss of shock attenuation.</w:t>
      </w:r>
    </w:p>
    <w:p>
      <w:pPr>
        <w:pStyle w:val="PR3"/>
        <w:numPr>
          <w:ilvl w:val="6"/>
          <w:numId w:val="1"/>
        </w:numPr>
        <w:rPr/>
      </w:pPr>
      <w:r>
        <w:rPr/>
        <w:t>Seam separation, including game lines and markings.</w:t>
      </w:r>
    </w:p>
    <w:p>
      <w:pPr>
        <w:pStyle w:val="CMT"/>
        <w:rPr/>
      </w:pPr>
      <w:r>
        <w:rPr/>
        <w:t>Verify available warranties and warranty periods for synthetic grass surfacing. Warranty periods may vary with type of yarn, assembly, and shock-attenuation pad.</w:t>
      </w:r>
    </w:p>
    <w:p>
      <w:pPr>
        <w:pStyle w:val="PR2"/>
        <w:numPr>
          <w:ilvl w:val="5"/>
          <w:numId w:val="1"/>
        </w:numPr>
        <w:spacing w:before="240" w:after="0"/>
        <w:rPr/>
      </w:pPr>
      <w:r>
        <w:rPr/>
        <w:t>Warranty Period: [</w:t>
      </w:r>
      <w:r>
        <w:rPr>
          <w:b/>
        </w:rPr>
        <w:t>8</w:t>
      </w:r>
      <w:r>
        <w:rPr/>
        <w:t>] [</w:t>
      </w:r>
      <w:r>
        <w:rPr>
          <w:b/>
        </w:rPr>
        <w:t>12</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ASTM F1551 references a set of test methods appropriate for synthetic grass surfacing. For each referenced test method, ASTM F1551 may include additional requirements. Common methods are included here. See the Evaluations.</w:t>
      </w:r>
    </w:p>
    <w:p>
      <w:pPr>
        <w:pStyle w:val="PR1"/>
        <w:numPr>
          <w:ilvl w:val="4"/>
          <w:numId w:val="1"/>
        </w:numPr>
        <w:rPr/>
      </w:pPr>
      <w:r>
        <w:rPr/>
        <w:t>Turf Fabric: Turf fabric tested in accordance with the following methods, with additional test method conditions for each method in accordance with ASTM F1551.</w:t>
      </w:r>
    </w:p>
    <w:p>
      <w:pPr>
        <w:pStyle w:val="PR2"/>
        <w:numPr>
          <w:ilvl w:val="5"/>
          <w:numId w:val="1"/>
        </w:numPr>
        <w:spacing w:before="240" w:after="0"/>
        <w:rPr/>
      </w:pPr>
      <w:r>
        <w:rPr/>
        <w:t>Tuft Bind: Not less than [</w:t>
      </w:r>
      <w:r>
        <w:rPr>
          <w:rStyle w:val="IP"/>
          <w:b/>
        </w:rPr>
        <w:t>8 lbf</w:t>
      </w:r>
      <w:r>
        <w:rPr>
          <w:rStyle w:val="SI"/>
          <w:b/>
        </w:rPr>
        <w:t xml:space="preserve"> (36 N)</w:t>
      </w:r>
      <w:r>
        <w:rPr/>
        <w:t>] [</w:t>
      </w:r>
      <w:r>
        <w:rPr>
          <w:rStyle w:val="IP"/>
          <w:b/>
        </w:rPr>
        <w:t>10 lbf</w:t>
      </w:r>
      <w:r>
        <w:rPr>
          <w:rStyle w:val="SI"/>
          <w:b/>
        </w:rPr>
        <w:t xml:space="preserve"> (45 N)</w:t>
      </w:r>
      <w:r>
        <w:rPr/>
        <w:t>] &lt;</w:t>
      </w:r>
      <w:r>
        <w:rPr>
          <w:b/>
        </w:rPr>
        <w:t>Insert value</w:t>
      </w:r>
      <w:r>
        <w:rPr/>
        <w:t>&gt; in accordance with ASTM D1335.</w:t>
      </w:r>
    </w:p>
    <w:p>
      <w:pPr>
        <w:pStyle w:val="PR2"/>
        <w:numPr>
          <w:ilvl w:val="5"/>
          <w:numId w:val="1"/>
        </w:numPr>
        <w:rPr/>
      </w:pPr>
      <w:r>
        <w:rPr/>
        <w:t>Breaking Strength: Minimum [</w:t>
      </w:r>
      <w:r>
        <w:rPr>
          <w:rStyle w:val="IP"/>
          <w:b/>
        </w:rPr>
        <w:t>200 lbf</w:t>
      </w:r>
      <w:r>
        <w:rPr>
          <w:rStyle w:val="SI"/>
          <w:b/>
        </w:rPr>
        <w:t xml:space="preserve"> (890 N)</w:t>
      </w:r>
      <w:r>
        <w:rPr/>
        <w:t>] [</w:t>
      </w:r>
      <w:r>
        <w:rPr>
          <w:rStyle w:val="IP"/>
          <w:b/>
        </w:rPr>
        <w:t>250 lbf</w:t>
      </w:r>
      <w:r>
        <w:rPr>
          <w:rStyle w:val="SI"/>
          <w:b/>
        </w:rPr>
        <w:t xml:space="preserve"> (1112 N)</w:t>
      </w:r>
      <w:r>
        <w:rPr/>
        <w:t>] &lt;</w:t>
      </w:r>
      <w:r>
        <w:rPr>
          <w:b/>
        </w:rPr>
        <w:t>Insert value</w:t>
      </w:r>
      <w:r>
        <w:rPr/>
        <w:t>&gt; in warp direction and minimum [</w:t>
      </w:r>
      <w:r>
        <w:rPr>
          <w:rStyle w:val="IP"/>
          <w:b/>
        </w:rPr>
        <w:t>200 lbf</w:t>
      </w:r>
      <w:r>
        <w:rPr>
          <w:rStyle w:val="SI"/>
          <w:b/>
        </w:rPr>
        <w:t xml:space="preserve"> (890 N)</w:t>
      </w:r>
      <w:r>
        <w:rPr/>
        <w:t>] [</w:t>
      </w:r>
      <w:r>
        <w:rPr>
          <w:rStyle w:val="IP"/>
          <w:b/>
        </w:rPr>
        <w:t>250 lbf</w:t>
      </w:r>
      <w:r>
        <w:rPr>
          <w:rStyle w:val="SI"/>
          <w:b/>
        </w:rPr>
        <w:t xml:space="preserve"> (1112 N)</w:t>
      </w:r>
      <w:r>
        <w:rPr/>
        <w:t>] &lt;</w:t>
      </w:r>
      <w:r>
        <w:rPr>
          <w:b/>
        </w:rPr>
        <w:t>Insert value</w:t>
      </w:r>
      <w:r>
        <w:rPr/>
        <w:t>&gt; perpendicular to warp direction, in accordance with ASTM D5034.</w:t>
      </w:r>
    </w:p>
    <w:p>
      <w:pPr>
        <w:pStyle w:val="PR1"/>
        <w:numPr>
          <w:ilvl w:val="4"/>
          <w:numId w:val="1"/>
        </w:numPr>
        <w:rPr/>
      </w:pPr>
      <w:r>
        <w:rPr/>
        <w:t>Synthetic Turf Playing Surfaces: Assembly tested in accordance with the following methods, with additional test method conditions for each method in accordance with ASTM F1551.</w:t>
      </w:r>
    </w:p>
    <w:p>
      <w:pPr>
        <w:pStyle w:val="CMT"/>
        <w:rPr/>
      </w:pPr>
      <w:r>
        <w:rPr/>
        <w:t>Values for shock attenuation, measured by maximum deceleration, or G(max), vary among manufacturers and systems.</w:t>
      </w:r>
    </w:p>
    <w:p>
      <w:pPr>
        <w:pStyle w:val="PR2"/>
        <w:numPr>
          <w:ilvl w:val="5"/>
          <w:numId w:val="1"/>
        </w:numPr>
        <w:spacing w:before="240" w:after="0"/>
        <w:rPr/>
      </w:pPr>
      <w:r>
        <w:rPr/>
        <w:t>Shock Attenuation: No greater than &lt;</w:t>
      </w:r>
      <w:r>
        <w:rPr>
          <w:b/>
        </w:rPr>
        <w:t>Insert value</w:t>
      </w:r>
      <w:r>
        <w:rPr/>
        <w:t>&gt; G(max) at time of installation in accordance with ASTM F355.</w:t>
      </w:r>
    </w:p>
    <w:p>
      <w:pPr>
        <w:pStyle w:val="PR2"/>
        <w:numPr>
          <w:ilvl w:val="5"/>
          <w:numId w:val="1"/>
        </w:numPr>
        <w:rPr/>
      </w:pPr>
      <w:r>
        <w:rPr/>
        <w:t>Abrasiveness Index: &lt;</w:t>
      </w:r>
      <w:r>
        <w:rPr>
          <w:b/>
        </w:rPr>
        <w:t>Insert value</w:t>
      </w:r>
      <w:r>
        <w:rPr/>
        <w:t>&gt; in accordance with ASTM F1015.</w:t>
      </w:r>
    </w:p>
    <w:p>
      <w:pPr>
        <w:pStyle w:val="CMT"/>
        <w:rPr/>
      </w:pPr>
      <w:r>
        <w:rPr/>
        <w:t>ASTM F2333 reports a unit-less index for translational or rotational traction. Values can be reported in a range or for mean, and they can differ between sports as well as between different shoes for the same sport. Other sports covered by the test method include tennis and golf. Confer with manufacturers.</w:t>
      </w:r>
    </w:p>
    <w:p>
      <w:pPr>
        <w:pStyle w:val="PR2"/>
        <w:numPr>
          <w:ilvl w:val="5"/>
          <w:numId w:val="1"/>
        </w:numPr>
        <w:rPr/>
      </w:pPr>
      <w:r>
        <w:rPr/>
        <w:t>Athletic Shoe Traction Index: Determined in accordance with ASTM F2333 for [</w:t>
      </w:r>
      <w:r>
        <w:rPr>
          <w:b/>
        </w:rPr>
        <w:t>football</w:t>
      </w:r>
      <w:r>
        <w:rPr/>
        <w:t>] [</w:t>
      </w:r>
      <w:r>
        <w:rPr>
          <w:b/>
        </w:rPr>
        <w:t>soccer</w:t>
      </w:r>
      <w:r>
        <w:rPr/>
        <w:t>] &lt;</w:t>
      </w:r>
      <w:r>
        <w:rPr>
          <w:b/>
        </w:rPr>
        <w:t>Insert shoe type</w:t>
      </w:r>
      <w:r>
        <w:rPr/>
        <w:t>&gt; shoe, as follows:</w:t>
      </w:r>
    </w:p>
    <w:p>
      <w:pPr>
        <w:pStyle w:val="CMT"/>
        <w:rPr/>
      </w:pPr>
      <w:r>
        <w:rPr/>
        <w:t>In "Rotational" and "Translational" subparagraphs below, insert a single figure if using "mean" option, or low and high values if using "range" option.</w:t>
      </w:r>
    </w:p>
    <w:p>
      <w:pPr>
        <w:pStyle w:val="PR3"/>
        <w:numPr>
          <w:ilvl w:val="6"/>
          <w:numId w:val="1"/>
        </w:numPr>
        <w:spacing w:before="240" w:after="0"/>
        <w:rPr/>
      </w:pPr>
      <w:r>
        <w:rPr/>
        <w:t>Rotational: [</w:t>
      </w:r>
      <w:r>
        <w:rPr>
          <w:b/>
        </w:rPr>
        <w:t>Mean</w:t>
      </w:r>
      <w:r>
        <w:rPr/>
        <w:t>] [</w:t>
      </w:r>
      <w:r>
        <w:rPr>
          <w:b/>
        </w:rPr>
        <w:t>Range</w:t>
      </w:r>
      <w:r>
        <w:rPr/>
        <w:t>] of &lt;</w:t>
      </w:r>
      <w:r>
        <w:rPr>
          <w:b/>
        </w:rPr>
        <w:t>Insert value(s)</w:t>
      </w:r>
      <w:r>
        <w:rPr/>
        <w:t>&gt;.</w:t>
      </w:r>
    </w:p>
    <w:p>
      <w:pPr>
        <w:pStyle w:val="PR3"/>
        <w:numPr>
          <w:ilvl w:val="6"/>
          <w:numId w:val="1"/>
        </w:numPr>
        <w:rPr/>
      </w:pPr>
      <w:r>
        <w:rPr/>
        <w:t>Translational: [</w:t>
      </w:r>
      <w:r>
        <w:rPr>
          <w:b/>
        </w:rPr>
        <w:t>Mean</w:t>
      </w:r>
      <w:r>
        <w:rPr/>
        <w:t>] [</w:t>
      </w:r>
      <w:r>
        <w:rPr>
          <w:b/>
        </w:rPr>
        <w:t>Range</w:t>
      </w:r>
      <w:r>
        <w:rPr/>
        <w:t>] of &lt;</w:t>
      </w:r>
      <w:r>
        <w:rPr>
          <w:b/>
        </w:rPr>
        <w:t>Insert value(s)</w:t>
      </w:r>
      <w:r>
        <w:rPr/>
        <w:t>&gt;.</w:t>
      </w:r>
    </w:p>
    <w:p>
      <w:pPr>
        <w:pStyle w:val="CMT"/>
        <w:rPr/>
      </w:pPr>
      <w:r>
        <w:rPr/>
        <w:t>Manufacturers use several methods for calculating permeability, stated as the synthetic grass surfacing's capacity to absorb rainfall in inches per hour. Manufacturers report a wide range of permeability; values from 15 to 60 inches/h can be found in published literature. See the Evaluations.</w:t>
      </w:r>
    </w:p>
    <w:p>
      <w:pPr>
        <w:pStyle w:val="PR1"/>
        <w:numPr>
          <w:ilvl w:val="4"/>
          <w:numId w:val="1"/>
        </w:numPr>
        <w:rPr/>
      </w:pPr>
      <w:r>
        <w:rPr/>
        <w:t>Permeability: &lt;</w:t>
      </w:r>
      <w:r>
        <w:rPr>
          <w:b/>
        </w:rPr>
        <w:t xml:space="preserve">Insert </w:t>
      </w:r>
      <w:r>
        <w:rPr>
          <w:rStyle w:val="IP"/>
          <w:b/>
        </w:rPr>
        <w:t>inches/h</w:t>
      </w:r>
      <w:r>
        <w:rPr>
          <w:rStyle w:val="SI"/>
          <w:b/>
        </w:rPr>
        <w:t xml:space="preserve"> (mm/h)</w:t>
      </w:r>
      <w:r>
        <w:rPr/>
        <w:t>&gt; of rainfall capacity in accordance with ASTM F2898 or EN 15330-1.</w:t>
      </w:r>
    </w:p>
    <w:p>
      <w:pPr>
        <w:pStyle w:val="PR1"/>
        <w:numPr>
          <w:ilvl w:val="4"/>
          <w:numId w:val="1"/>
        </w:numPr>
        <w:rPr/>
      </w:pPr>
      <w:r>
        <w:rPr/>
        <w:t>Durability: Minimum of &lt;</w:t>
      </w:r>
      <w:r>
        <w:rPr>
          <w:b/>
        </w:rPr>
        <w:t>Insert number</w:t>
      </w:r>
      <w:r>
        <w:rPr/>
        <w:t>&gt; wear cycles in accordance with EN 15306 (Lisport test).</w:t>
      </w:r>
    </w:p>
    <w:p>
      <w:pPr>
        <w:pStyle w:val="ART"/>
        <w:numPr>
          <w:ilvl w:val="3"/>
          <w:numId w:val="1"/>
        </w:numPr>
        <w:ind w:hanging="0" w:left="0"/>
        <w:rPr/>
      </w:pPr>
      <w:r>
        <w:rPr/>
        <w:t>SYNTHETIC GRASS SURFACING</w:t>
      </w:r>
    </w:p>
    <w:p>
      <w:pPr>
        <w:pStyle w:val="PR1"/>
        <w:numPr>
          <w:ilvl w:val="4"/>
          <w:numId w:val="1"/>
        </w:numPr>
        <w:rPr/>
      </w:pPr>
      <w:r>
        <w:rPr/>
        <w:t>Synthetic Grass Surfacing for Field Sports: Complete surfacing system, consisting of synthetic yarns bound to water-permeable backing and infill indicated, suitable for [</w:t>
      </w:r>
      <w:r>
        <w:rPr>
          <w:b/>
        </w:rPr>
        <w:t>football</w:t>
      </w:r>
      <w:r>
        <w:rPr/>
        <w:t>] [</w:t>
      </w:r>
      <w:r>
        <w:rPr>
          <w:b/>
        </w:rPr>
        <w:t>soccer</w:t>
      </w:r>
      <w:r>
        <w:rPr/>
        <w:t>] [</w:t>
      </w:r>
      <w:r>
        <w:rPr>
          <w:b/>
        </w:rPr>
        <w:t>multipurpose sport</w:t>
      </w:r>
      <w:r>
        <w:rPr/>
        <w:t>] [</w:t>
      </w:r>
      <w:r>
        <w:rPr>
          <w:b/>
        </w:rPr>
        <w:t>field hockey</w:t>
      </w:r>
      <w:r>
        <w:rPr/>
        <w:t>] [</w:t>
      </w:r>
      <w:r>
        <w:rPr>
          <w:b/>
        </w:rPr>
        <w:t>baseball</w:t>
      </w:r>
      <w:r>
        <w:rPr/>
        <w:t>] &lt;</w:t>
      </w:r>
      <w:r>
        <w:rPr>
          <w:b/>
        </w:rPr>
        <w:t>Insert sport</w:t>
      </w:r>
      <w:r>
        <w:rPr/>
        <w:t>&gt; playing fields.</w:t>
      </w:r>
    </w:p>
    <w:p>
      <w:pPr>
        <w:pStyle w:val="PR2"/>
        <w:numPr>
          <w:ilvl w:val="5"/>
          <w:numId w:val="1"/>
        </w:numPr>
        <w:spacing w:before="240" w:after="0"/>
        <w:rPr/>
      </w:pPr>
      <w:hyperlink r:id="rId4">
        <w:r>
          <w:rPr>
            <w:rStyle w:val="Hyperlink"/>
          </w:rPr>
          <w:t>&lt;Double click here to find, evaluate, and insert list of manufacturers and products.&gt;</w:t>
        </w:r>
      </w:hyperlink>
    </w:p>
    <w:p>
      <w:pPr>
        <w:pStyle w:val="PR1"/>
        <w:numPr>
          <w:ilvl w:val="4"/>
          <w:numId w:val="1"/>
        </w:numPr>
        <w:rPr/>
      </w:pPr>
      <w:r>
        <w:rPr/>
        <w:t>Synthetic Grass Surfacing for Landscaping: Complete surfacing system, consisting of synthetic yarns bound to water-permeable backing and infill indicated, suitable for [</w:t>
      </w:r>
      <w:r>
        <w:rPr>
          <w:b/>
        </w:rPr>
        <w:t>pet areas</w:t>
      </w:r>
      <w:r>
        <w:rPr/>
        <w:t>] [</w:t>
      </w:r>
      <w:r>
        <w:rPr>
          <w:b/>
        </w:rPr>
        <w:t>playing fields</w:t>
      </w:r>
      <w:r>
        <w:rPr/>
        <w:t>] [</w:t>
      </w:r>
      <w:r>
        <w:rPr>
          <w:b/>
        </w:rPr>
        <w:t>lawns</w:t>
      </w:r>
      <w:r>
        <w:rPr/>
        <w:t>] [</w:t>
      </w:r>
      <w:r>
        <w:rPr>
          <w:b/>
        </w:rPr>
        <w:t>roof decks</w:t>
      </w:r>
      <w:r>
        <w:rPr/>
        <w:t>] &lt;</w:t>
      </w:r>
      <w:r>
        <w:rPr>
          <w:b/>
        </w:rPr>
        <w:t>Insert application</w:t>
      </w:r>
      <w:r>
        <w:rPr/>
        <w:t>&gt;.</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PR1"/>
        <w:numPr>
          <w:ilvl w:val="4"/>
          <w:numId w:val="1"/>
        </w:numPr>
        <w:rPr/>
      </w:pPr>
      <w:r>
        <w:rPr/>
        <w:t>Turf Fabric: Woven turf fabric with multicolored fiber and UV resistance, complying with the following:</w:t>
      </w:r>
    </w:p>
    <w:p>
      <w:pPr>
        <w:pStyle w:val="CMT"/>
        <w:rPr/>
      </w:pPr>
      <w:r>
        <w:rPr/>
        <w:t>Revise "Yarn Fiber" Subparagraph below for other types of surfacing. Multifiber synthetic grass surfacing is most commonly made with polyethylene; however, products are available that include combinations of slit-film polyethylene, monofilament polyethylene, and monofilament nylon fibers.</w:t>
      </w:r>
    </w:p>
    <w:p>
      <w:pPr>
        <w:pStyle w:val="PR2"/>
        <w:numPr>
          <w:ilvl w:val="5"/>
          <w:numId w:val="1"/>
        </w:numPr>
        <w:spacing w:before="240" w:after="0"/>
        <w:rPr/>
      </w:pPr>
      <w:r>
        <w:rPr/>
        <w:t>Yarn Fiber: [</w:t>
      </w:r>
      <w:r>
        <w:rPr>
          <w:b/>
        </w:rPr>
        <w:t>Monofilament polyethylene</w:t>
      </w:r>
      <w:r>
        <w:rPr/>
        <w:t>] [</w:t>
      </w:r>
      <w:r>
        <w:rPr>
          <w:b/>
        </w:rPr>
        <w:t>Slit-film polyethylene</w:t>
      </w:r>
      <w:r>
        <w:rPr/>
        <w:t>] [</w:t>
      </w:r>
      <w:r>
        <w:rPr>
          <w:b/>
        </w:rPr>
        <w:t>Monofilament nylon</w:t>
      </w:r>
      <w:r>
        <w:rPr/>
        <w:t>] [</w:t>
      </w:r>
      <w:r>
        <w:rPr>
          <w:b/>
        </w:rPr>
        <w:t>Multifiber monofilament and slit-film polyethylene</w:t>
      </w:r>
      <w:r>
        <w:rPr/>
        <w:t>] &lt;</w:t>
      </w:r>
      <w:r>
        <w:rPr>
          <w:b/>
        </w:rPr>
        <w:t>Insert other fibers</w:t>
      </w:r>
      <w:r>
        <w:rPr/>
        <w:t>&gt;.</w:t>
      </w:r>
    </w:p>
    <w:p>
      <w:pPr>
        <w:pStyle w:val="CMT"/>
        <w:rPr/>
      </w:pPr>
      <w:r>
        <w:rPr/>
        <w:t>Example option for lead content in "Lead Content of Yarn Fiber" Subparagraph below is that noted by ASTM F2765; the maximum permitted by the standard is 300 ppm. Confirm quantity with manufacturers.</w:t>
      </w:r>
    </w:p>
    <w:p>
      <w:pPr>
        <w:pStyle w:val="PR2"/>
        <w:numPr>
          <w:ilvl w:val="5"/>
          <w:numId w:val="1"/>
        </w:numPr>
        <w:rPr/>
      </w:pPr>
      <w:r>
        <w:rPr/>
        <w:t>Lead Content of Yarn Fiber: Maximum of [</w:t>
      </w:r>
      <w:r>
        <w:rPr>
          <w:b/>
        </w:rPr>
        <w:t>100</w:t>
      </w:r>
      <w:r>
        <w:rPr/>
        <w:t>] &lt;</w:t>
      </w:r>
      <w:r>
        <w:rPr>
          <w:b/>
        </w:rPr>
        <w:t>Insert number</w:t>
      </w:r>
      <w:r>
        <w:rPr/>
        <w:t>&gt; ppm in accordance with ASTM F2765.</w:t>
      </w:r>
    </w:p>
    <w:p>
      <w:pPr>
        <w:pStyle w:val="CMT"/>
        <w:rPr/>
      </w:pPr>
      <w:r>
        <w:rPr/>
        <w:t>Values for weight and height in "Pile Weight" and "Pile Height" subparagraphs below are roughly correlated to each other and vary widely among different synthetic grass surfacing assemblies. Typical pile weights for football fields range from 40 to 50 oz./sq. yd. (1356 to 1696 g/sq. m). See the Evaluations, and consult manufacturers.</w:t>
      </w:r>
    </w:p>
    <w:p>
      <w:pPr>
        <w:pStyle w:val="PR2"/>
        <w:numPr>
          <w:ilvl w:val="5"/>
          <w:numId w:val="1"/>
        </w:numPr>
        <w:rPr/>
      </w:pPr>
      <w:r>
        <w:rPr/>
        <w:t>Pile Weight: &lt;</w:t>
      </w:r>
      <w:r>
        <w:rPr>
          <w:b/>
        </w:rPr>
        <w:t xml:space="preserve">Insert </w:t>
      </w:r>
      <w:r>
        <w:rPr>
          <w:rStyle w:val="IP"/>
          <w:b/>
        </w:rPr>
        <w:t>oz./sq. yd.</w:t>
      </w:r>
      <w:r>
        <w:rPr>
          <w:rStyle w:val="SI"/>
          <w:b/>
        </w:rPr>
        <w:t xml:space="preserve"> (g/sq. m)</w:t>
      </w:r>
      <w:r>
        <w:rPr/>
        <w:t>&gt; in accordance with ASTM D5848.</w:t>
      </w:r>
    </w:p>
    <w:p>
      <w:pPr>
        <w:pStyle w:val="CMT"/>
        <w:rPr/>
      </w:pPr>
      <w:r>
        <w:rPr/>
        <w:t>Typical pile heights for football fields range from 2 to 2-1/2 inches (51 to 64 mm). Other sports may vary considerably.</w:t>
      </w:r>
    </w:p>
    <w:p>
      <w:pPr>
        <w:pStyle w:val="PR2"/>
        <w:numPr>
          <w:ilvl w:val="5"/>
          <w:numId w:val="1"/>
        </w:numPr>
        <w:rPr/>
      </w:pPr>
      <w:r>
        <w:rPr/>
        <w:t>Pile Height: &lt;</w:t>
      </w:r>
      <w:r>
        <w:rPr>
          <w:b/>
        </w:rPr>
        <w:t xml:space="preserve">Insert </w:t>
      </w:r>
      <w:r>
        <w:rPr>
          <w:rStyle w:val="IP"/>
          <w:b/>
        </w:rPr>
        <w:t>inches</w:t>
      </w:r>
      <w:r>
        <w:rPr>
          <w:rStyle w:val="SI"/>
          <w:b/>
        </w:rPr>
        <w:t xml:space="preserve"> (mm)</w:t>
      </w:r>
      <w:r>
        <w:rPr/>
        <w:t>&gt; in accordance with ASTM D5823.</w:t>
      </w:r>
    </w:p>
    <w:p>
      <w:pPr>
        <w:pStyle w:val="CMT"/>
        <w:rPr/>
      </w:pPr>
      <w:r>
        <w:rPr/>
        <w:t>Revise "Backing" Paragraph below if requiring minimum weight, or acceptable range, of secondary backing weight.</w:t>
      </w:r>
    </w:p>
    <w:p>
      <w:pPr>
        <w:pStyle w:val="PR1"/>
        <w:numPr>
          <w:ilvl w:val="4"/>
          <w:numId w:val="1"/>
        </w:numPr>
        <w:rPr/>
      </w:pPr>
      <w:r>
        <w:rPr/>
        <w:t>Backing: Manufacturer's standard woven or nonwoven polypropylene primary backing with urethane-coated secondary backing; provide perforations or drainage channels sufficient to meet permeability indicated.</w:t>
      </w:r>
    </w:p>
    <w:p>
      <w:pPr>
        <w:pStyle w:val="CMT"/>
        <w:rPr/>
      </w:pPr>
      <w:r>
        <w:rPr/>
        <w:t>Revise "Infill" Paragraph below to suit selected synthetic grass surfacing assembly. Most common option for football and multipurpose fields is "sand and rubber." Options for "TPO" and "organic" infill are offered by only a few manufacturers.</w:t>
      </w:r>
    </w:p>
    <w:p>
      <w:pPr>
        <w:pStyle w:val="PR1"/>
        <w:numPr>
          <w:ilvl w:val="4"/>
          <w:numId w:val="1"/>
        </w:numPr>
        <w:rPr/>
      </w:pPr>
      <w:r>
        <w:rPr/>
        <w:t>Infill: Manufacturer's standard [</w:t>
      </w:r>
      <w:r>
        <w:rPr>
          <w:b/>
        </w:rPr>
        <w:t>sand and rubber</w:t>
      </w:r>
      <w:r>
        <w:rPr/>
        <w:t>] [</w:t>
      </w:r>
      <w:r>
        <w:rPr>
          <w:b/>
        </w:rPr>
        <w:t>rubber</w:t>
      </w:r>
      <w:r>
        <w:rPr/>
        <w:t>] [</w:t>
      </w:r>
      <w:r>
        <w:rPr>
          <w:b/>
        </w:rPr>
        <w:t>sand</w:t>
      </w:r>
      <w:r>
        <w:rPr/>
        <w:t>] [</w:t>
      </w:r>
      <w:r>
        <w:rPr>
          <w:b/>
        </w:rPr>
        <w:t>TPO</w:t>
      </w:r>
      <w:r>
        <w:rPr/>
        <w:t>] [</w:t>
      </w:r>
      <w:r>
        <w:rPr>
          <w:b/>
        </w:rPr>
        <w:t>organic</w:t>
      </w:r>
      <w:r>
        <w:rPr/>
        <w:t>] infill.</w:t>
      </w:r>
    </w:p>
    <w:p>
      <w:pPr>
        <w:pStyle w:val="CMT"/>
        <w:rPr/>
      </w:pPr>
      <w:r>
        <w:rPr/>
        <w:t>Retain "Infill Proportions" Subparagraph below if requiring particular proportions of sand and rubber infill; the first two options are most common. Delete subparagraph if specifying by performance requirements only.</w:t>
      </w:r>
    </w:p>
    <w:p>
      <w:pPr>
        <w:pStyle w:val="PR2"/>
        <w:numPr>
          <w:ilvl w:val="5"/>
          <w:numId w:val="1"/>
        </w:numPr>
        <w:spacing w:before="240" w:after="0"/>
        <w:rPr/>
      </w:pPr>
      <w:r>
        <w:rPr/>
        <w:t>Infill Proportions: [</w:t>
      </w:r>
      <w:r>
        <w:rPr>
          <w:b/>
        </w:rPr>
        <w:t>70 percent rubber, 30 percent sand</w:t>
      </w:r>
      <w:r>
        <w:rPr/>
        <w:t>] [</w:t>
      </w:r>
      <w:r>
        <w:rPr>
          <w:b/>
        </w:rPr>
        <w:t>50 percent rubber, 50 percent sand</w:t>
      </w:r>
      <w:r>
        <w:rPr/>
        <w:t>] [</w:t>
      </w:r>
      <w:r>
        <w:rPr>
          <w:b/>
        </w:rPr>
        <w:t>Manufacturer's standard proportions</w:t>
      </w:r>
      <w:r>
        <w:rPr/>
        <w:t>] &lt;</w:t>
      </w:r>
      <w:r>
        <w:rPr>
          <w:b/>
        </w:rPr>
        <w:t>Insert proportions</w:t>
      </w:r>
      <w:r>
        <w:rPr/>
        <w:t>&gt;.</w:t>
      </w:r>
    </w:p>
    <w:p>
      <w:pPr>
        <w:pStyle w:val="CMT"/>
        <w:rPr/>
      </w:pPr>
      <w:r>
        <w:rPr/>
        <w:t>Generally, layout of game lines should be indicated on Drawings.</w:t>
      </w:r>
    </w:p>
    <w:p>
      <w:pPr>
        <w:pStyle w:val="PR1"/>
        <w:numPr>
          <w:ilvl w:val="4"/>
          <w:numId w:val="1"/>
        </w:numPr>
        <w:rPr/>
      </w:pPr>
      <w:r>
        <w:rPr/>
        <w:t>Game Lines and Markings: Provide game lines and markers in widths and colors in accordance with requirements indicated on Drawings.</w:t>
      </w:r>
    </w:p>
    <w:p>
      <w:pPr>
        <w:pStyle w:val="CMT"/>
        <w:rPr/>
      </w:pPr>
      <w:r>
        <w:rPr/>
        <w:t>Revise "Application Method" Subparagraph below if permanently painted lines are acceptable for some or all game markings. Painted markings are less expensive, but not as durable as tufted-in or inlaid markings.</w:t>
      </w:r>
    </w:p>
    <w:p>
      <w:pPr>
        <w:pStyle w:val="PR2"/>
        <w:numPr>
          <w:ilvl w:val="5"/>
          <w:numId w:val="1"/>
        </w:numPr>
        <w:spacing w:before="240" w:after="0"/>
        <w:rPr/>
      </w:pPr>
      <w:r>
        <w:rPr/>
        <w:t>Application Method: Tufted in to the maximum extent practicable, with remaining lines inlaid.</w:t>
      </w:r>
    </w:p>
    <w:p>
      <w:pPr>
        <w:pStyle w:val="PR2"/>
        <w:numPr>
          <w:ilvl w:val="5"/>
          <w:numId w:val="1"/>
        </w:numPr>
        <w:rPr/>
      </w:pPr>
      <w:r>
        <w:rPr/>
        <w:t>Team Logo/Graphic: Provide inlaid team logo/graphic in colors and design indicated.</w:t>
      </w:r>
    </w:p>
    <w:p>
      <w:pPr>
        <w:pStyle w:val="CMT"/>
        <w:rPr/>
      </w:pPr>
      <w:r>
        <w:rPr/>
        <w:t>Adhesive is the most common method, followed by sewn.</w:t>
      </w:r>
    </w:p>
    <w:p>
      <w:pPr>
        <w:pStyle w:val="PR1"/>
        <w:numPr>
          <w:ilvl w:val="4"/>
          <w:numId w:val="1"/>
        </w:numPr>
        <w:rPr/>
      </w:pPr>
      <w:r>
        <w:rPr/>
        <w:t>Seaming Method: [</w:t>
      </w:r>
      <w:r>
        <w:rPr>
          <w:b/>
        </w:rPr>
        <w:t>Adhesive</w:t>
      </w:r>
      <w:r>
        <w:rPr/>
        <w:t>] [</w:t>
      </w:r>
      <w:r>
        <w:rPr>
          <w:b/>
        </w:rPr>
        <w:t>Sewn</w:t>
      </w:r>
      <w:r>
        <w:rPr/>
        <w:t>] [</w:t>
      </w:r>
      <w:r>
        <w:rPr>
          <w:b/>
        </w:rPr>
        <w:t>Hot melt</w:t>
      </w:r>
      <w:r>
        <w:rPr/>
        <w:t>].</w:t>
      </w:r>
    </w:p>
    <w:p>
      <w:pPr>
        <w:pStyle w:val="ART"/>
        <w:numPr>
          <w:ilvl w:val="3"/>
          <w:numId w:val="1"/>
        </w:numPr>
        <w:ind w:hanging="0" w:left="0"/>
        <w:rPr/>
      </w:pPr>
      <w:r>
        <w:rPr/>
        <w:t>MATERIALS</w:t>
      </w:r>
    </w:p>
    <w:p>
      <w:pPr>
        <w:pStyle w:val="CMT"/>
        <w:rPr/>
      </w:pPr>
      <w:r>
        <w:rPr/>
        <w:t>Retain one or more of "Rubber Infill," "Sand Infill," "TPO Infill," and "Organic Fiber Infill" paragraphs below as required by selected synthetic grass surfacing system.</w:t>
      </w:r>
    </w:p>
    <w:p>
      <w:pPr>
        <w:pStyle w:val="PR1"/>
        <w:numPr>
          <w:ilvl w:val="4"/>
          <w:numId w:val="1"/>
        </w:numPr>
        <w:rPr/>
      </w:pPr>
      <w:r>
        <w:rPr/>
        <w:t>Rubber Infill: Ground [</w:t>
      </w:r>
      <w:r>
        <w:rPr>
          <w:b/>
        </w:rPr>
        <w:t>latex-coated </w:t>
      </w:r>
      <w:r>
        <w:rPr/>
        <w:t>]SBR crumb rubber mesh free of metal, nonmetal fibers, and contaminants; mesh size as recommended by synthetic grass surfacing manufacturer.</w:t>
      </w:r>
    </w:p>
    <w:p>
      <w:pPr>
        <w:pStyle w:val="PR1"/>
        <w:numPr>
          <w:ilvl w:val="4"/>
          <w:numId w:val="1"/>
        </w:numPr>
        <w:rPr/>
      </w:pPr>
      <w:r>
        <w:rPr/>
        <w:t>Sand Infill: Uniformly sized [</w:t>
      </w:r>
      <w:r>
        <w:rPr>
          <w:b/>
        </w:rPr>
        <w:t>latex-coated </w:t>
      </w:r>
      <w:r>
        <w:rPr/>
        <w:t>]silica sand free of silts, clays, and contaminants, and of subangular or rounder shape in accordance with ASTM F1632; mesh size as recommended by synthetic grass surfacing manufacturer.</w:t>
      </w:r>
    </w:p>
    <w:p>
      <w:pPr>
        <w:pStyle w:val="PR1"/>
        <w:numPr>
          <w:ilvl w:val="4"/>
          <w:numId w:val="1"/>
        </w:numPr>
        <w:rPr/>
      </w:pPr>
      <w:r>
        <w:rPr/>
        <w:t>TPO Infill: Uniformly sized TPO granules free of contaminants; particle size as recommended by synthetic grass surfacing manufacturer.</w:t>
      </w:r>
    </w:p>
    <w:p>
      <w:pPr>
        <w:pStyle w:val="PR1"/>
        <w:numPr>
          <w:ilvl w:val="4"/>
          <w:numId w:val="1"/>
        </w:numPr>
        <w:rPr/>
      </w:pPr>
      <w:r>
        <w:rPr/>
        <w:t>Organic Fiber Infill: Coconut or cork fiber granules free of contaminants, and as recommended by synthetic grass surfacing manufacturer.</w:t>
      </w:r>
    </w:p>
    <w:p>
      <w:pPr>
        <w:pStyle w:val="CMT"/>
        <w:rPr/>
      </w:pPr>
      <w:r>
        <w:rPr/>
        <w:t>Retain "Seam Adhesive" and "Seam Tape" paragraphs below for synthetic grass surfacing with adhesive seams.</w:t>
      </w:r>
    </w:p>
    <w:p>
      <w:pPr>
        <w:pStyle w:val="PR1"/>
        <w:numPr>
          <w:ilvl w:val="4"/>
          <w:numId w:val="1"/>
        </w:numPr>
        <w:rPr/>
      </w:pPr>
      <w:r>
        <w:rPr/>
        <w:t>Seam Adhesive: One- or two-part urethane, recommended or approved by synthetic grass surfacing manufacturer, and suitable for ambient conditions at time of installation.</w:t>
      </w:r>
    </w:p>
    <w:p>
      <w:pPr>
        <w:pStyle w:val="PR1"/>
        <w:numPr>
          <w:ilvl w:val="4"/>
          <w:numId w:val="1"/>
        </w:numPr>
        <w:rPr/>
      </w:pPr>
      <w:r>
        <w:rPr/>
        <w:t>Seam Tape: Synthetic grass manufacturer's recommended seam tape, minimum [</w:t>
      </w:r>
      <w:r>
        <w:rPr>
          <w:rStyle w:val="IP"/>
          <w:b/>
        </w:rPr>
        <w:t>12 inches</w:t>
      </w:r>
      <w:r>
        <w:rPr>
          <w:rStyle w:val="SI"/>
          <w:b/>
        </w:rPr>
        <w:t xml:space="preserve"> (305 mm)</w:t>
      </w:r>
      <w:r>
        <w:rPr/>
        <w:t>] [</w:t>
      </w:r>
      <w:r>
        <w:rPr>
          <w:rStyle w:val="IP"/>
          <w:b/>
        </w:rPr>
        <w:t>15 inches</w:t>
      </w:r>
      <w:r>
        <w:rPr>
          <w:rStyle w:val="SI"/>
          <w:b/>
        </w:rPr>
        <w:t xml:space="preserve"> (381 mm)</w:t>
      </w:r>
      <w:r>
        <w:rPr/>
        <w:t xml:space="preserve">] wide, </w:t>
      </w:r>
      <w:r>
        <w:rPr>
          <w:rStyle w:val="IP"/>
        </w:rPr>
        <w:t>18 inches</w:t>
      </w:r>
      <w:r>
        <w:rPr>
          <w:rStyle w:val="SI"/>
        </w:rPr>
        <w:t xml:space="preserve"> (457 mm)</w:t>
      </w:r>
      <w:r>
        <w:rPr/>
        <w:t xml:space="preserve"> wide for inlaid game lines.</w:t>
      </w:r>
    </w:p>
    <w:p>
      <w:pPr>
        <w:pStyle w:val="CMT"/>
        <w:rPr/>
      </w:pPr>
      <w:r>
        <w:rPr/>
        <w:t>Retain "Seaming Cord" Paragraph below for synthetic grass surfacing with sewn seams.</w:t>
      </w:r>
    </w:p>
    <w:p>
      <w:pPr>
        <w:pStyle w:val="PR1"/>
        <w:numPr>
          <w:ilvl w:val="4"/>
          <w:numId w:val="1"/>
        </w:numPr>
        <w:rPr/>
      </w:pPr>
      <w:r>
        <w:rPr/>
        <w:t>Seaming Cord: Seaming cord or thread, recommended by the synthetic grass surfacing manufacturer.</w:t>
      </w:r>
    </w:p>
    <w:p>
      <w:pPr>
        <w:pStyle w:val="PR1"/>
        <w:numPr>
          <w:ilvl w:val="4"/>
          <w:numId w:val="1"/>
        </w:numPr>
        <w:rPr/>
      </w:pPr>
      <w:r>
        <w:rPr/>
        <w:t>Shock-Attenuation Pad: Porous composite consisting of rubber granules bound with urethane adhesive, [</w:t>
      </w:r>
      <w:r>
        <w:rPr>
          <w:rStyle w:val="IP"/>
          <w:b/>
        </w:rPr>
        <w:t>0.31 inch</w:t>
      </w:r>
      <w:r>
        <w:rPr>
          <w:rStyle w:val="SI"/>
          <w:b/>
        </w:rPr>
        <w:t xml:space="preserve"> (8 mm)</w:t>
      </w:r>
      <w:r>
        <w:rPr/>
        <w:t>] [</w:t>
      </w:r>
      <w:r>
        <w:rPr>
          <w:rStyle w:val="IP"/>
          <w:b/>
        </w:rPr>
        <w:t>0.39 inch</w:t>
      </w:r>
      <w:r>
        <w:rPr>
          <w:rStyle w:val="SI"/>
          <w:b/>
        </w:rPr>
        <w:t xml:space="preserve"> (10 mm)</w:t>
      </w:r>
      <w:r>
        <w:rPr/>
        <w:t>] [</w:t>
      </w:r>
      <w:r>
        <w:rPr>
          <w:rStyle w:val="IP"/>
          <w:b/>
        </w:rPr>
        <w:t>0. 47 inch</w:t>
      </w:r>
      <w:r>
        <w:rPr>
          <w:rStyle w:val="SI"/>
          <w:b/>
        </w:rPr>
        <w:t xml:space="preserve"> (12 mm)</w:t>
      </w:r>
      <w:r>
        <w:rPr/>
        <w:t>] [</w:t>
      </w:r>
      <w:r>
        <w:rPr>
          <w:rStyle w:val="IP"/>
          <w:b/>
        </w:rPr>
        <w:t>0.59 inch</w:t>
      </w:r>
      <w:r>
        <w:rPr>
          <w:rStyle w:val="SI"/>
          <w:b/>
        </w:rPr>
        <w:t xml:space="preserve"> (15 mm)</w:t>
      </w:r>
      <w:r>
        <w:rPr/>
        <w:t>] &lt;</w:t>
      </w:r>
      <w:r>
        <w:rPr>
          <w:b/>
        </w:rPr>
        <w:t>Insert dimension</w:t>
      </w:r>
      <w:r>
        <w:rPr/>
        <w:t>&gt; thick; [</w:t>
      </w:r>
      <w:r>
        <w:rPr>
          <w:b/>
        </w:rPr>
        <w:t>nondimpled</w:t>
      </w:r>
      <w:r>
        <w:rPr/>
        <w:t>] [</w:t>
      </w:r>
      <w:r>
        <w:rPr>
          <w:b/>
        </w:rPr>
        <w:t>dimpled</w:t>
      </w:r>
      <w:r>
        <w:rPr/>
        <w:t>][</w:t>
      </w:r>
      <w:r>
        <w:rPr>
          <w:b/>
        </w:rPr>
        <w:t>; with drainage composite laminated to one side</w:t>
      </w:r>
      <w:r>
        <w:rPr/>
        <w:t>]. Provide shock-attenuation pad with permeability sufficient to meet synthetic grass surfacing assembly permeability indicated.</w:t>
      </w:r>
    </w:p>
    <w:p>
      <w:pPr>
        <w:pStyle w:val="CMT"/>
        <w:rPr/>
      </w:pPr>
      <w:r>
        <w:rPr/>
        <w:t>Retain "Game Line Paint" Paragraph below for use with painted game lines and markings.</w:t>
      </w:r>
    </w:p>
    <w:p>
      <w:pPr>
        <w:pStyle w:val="PR1"/>
        <w:numPr>
          <w:ilvl w:val="4"/>
          <w:numId w:val="1"/>
        </w:numPr>
        <w:rPr/>
      </w:pPr>
      <w:r>
        <w:rPr/>
        <w:t>Game Line Paint: Permanent paint as recommended or approved by synthetic grass surfacing manufacturer.</w:t>
      </w:r>
    </w:p>
    <w:p>
      <w:pPr>
        <w:pStyle w:val="PRT"/>
        <w:numPr>
          <w:ilvl w:val="0"/>
          <w:numId w:val="1"/>
        </w:numPr>
        <w:ind w:hanging="0" w:left="0"/>
        <w:rPr/>
      </w:pPr>
      <w:r>
        <w:rPr/>
        <w:t>EXECUTION</w:t>
      </w:r>
    </w:p>
    <w:p>
      <w:pPr>
        <w:pStyle w:val="ART"/>
        <w:numPr>
          <w:ilvl w:val="3"/>
          <w:numId w:val="1"/>
        </w:numPr>
        <w:ind w:hanging="0" w:left="0"/>
        <w:rPr/>
      </w:pPr>
      <w:r>
        <w:rPr/>
        <w:t>EXAMINATION</w:t>
      </w:r>
    </w:p>
    <w:p>
      <w:pPr>
        <w:pStyle w:val="CMT"/>
        <w:rPr/>
      </w:pPr>
      <w:r>
        <w:rPr/>
        <w:t>Synthetic grass surfacing assemblies require a base graded to very tight tolerances; coordinate with requirements of Section 312000 "Earth Moving" for installation and verification of suitable base. Synthetic grass surfacing assemblies also require well-drained bases.</w:t>
      </w:r>
    </w:p>
    <w:p>
      <w:pPr>
        <w:pStyle w:val="PR1"/>
        <w:numPr>
          <w:ilvl w:val="4"/>
          <w:numId w:val="1"/>
        </w:numPr>
        <w:rPr/>
      </w:pPr>
      <w:r>
        <w:rPr/>
        <w:t>Examine base and other conditions, with Installer present, for compliance with requirements for installation tolerances, permeability,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SYNTHETIC GRASS SURFACING</w:t>
      </w:r>
    </w:p>
    <w:p>
      <w:pPr>
        <w:pStyle w:val="PR1"/>
        <w:numPr>
          <w:ilvl w:val="4"/>
          <w:numId w:val="1"/>
        </w:numPr>
        <w:rPr/>
      </w:pPr>
      <w:r>
        <w:rPr/>
        <w:t>Avoid disturbance of base during installation of [</w:t>
      </w:r>
      <w:r>
        <w:rPr>
          <w:b/>
        </w:rPr>
        <w:t>shock-attenuation pad and </w:t>
      </w:r>
      <w:r>
        <w:rPr/>
        <w:t>]turf fabric.</w:t>
      </w:r>
    </w:p>
    <w:p>
      <w:pPr>
        <w:pStyle w:val="PR1"/>
        <w:numPr>
          <w:ilvl w:val="4"/>
          <w:numId w:val="1"/>
        </w:numPr>
        <w:rPr/>
      </w:pPr>
      <w:r>
        <w:rPr/>
        <w:t>Shock-Attenuation Pad Installation: Roll out pad and allow to relax a minimum of six hours prior to final fit and trim. Stagger head seams between adjacent rows. Fit seams snugly without stretching or forcing.</w:t>
      </w:r>
    </w:p>
    <w:p>
      <w:pPr>
        <w:pStyle w:val="PR1"/>
        <w:numPr>
          <w:ilvl w:val="4"/>
          <w:numId w:val="1"/>
        </w:numPr>
        <w:rPr/>
      </w:pPr>
      <w:r>
        <w:rPr/>
        <w:t>Roll out turf fabric and allow to relax at least four hours prior to seaming.</w:t>
      </w:r>
    </w:p>
    <w:p>
      <w:pPr>
        <w:pStyle w:val="PR1"/>
        <w:numPr>
          <w:ilvl w:val="4"/>
          <w:numId w:val="1"/>
        </w:numPr>
        <w:rPr/>
      </w:pPr>
      <w:r>
        <w:rPr/>
        <w:t>Provide seams flat and snug, with no gaps or fraying. Remove yarns that are trapped within seams. Attach turf fabric to perimeter restraint system as recommended by the manufacturer.</w:t>
      </w:r>
    </w:p>
    <w:p>
      <w:pPr>
        <w:pStyle w:val="PR1"/>
        <w:numPr>
          <w:ilvl w:val="4"/>
          <w:numId w:val="1"/>
        </w:numPr>
        <w:rPr/>
      </w:pPr>
      <w:r>
        <w:rPr/>
        <w:t xml:space="preserve">Install inlaid game lines and markings by cutting through turf fabric and installing snugly fitting game line turf fabric. Provide seaming tape that extends minimum </w:t>
      </w:r>
      <w:r>
        <w:rPr>
          <w:rStyle w:val="IP"/>
        </w:rPr>
        <w:t>6 inches</w:t>
      </w:r>
      <w:r>
        <w:rPr>
          <w:rStyle w:val="SI"/>
        </w:rPr>
        <w:t xml:space="preserve"> (152 mm)</w:t>
      </w:r>
      <w:r>
        <w:rPr/>
        <w:t xml:space="preserve"> beyond seam.</w:t>
      </w:r>
    </w:p>
    <w:p>
      <w:pPr>
        <w:pStyle w:val="PR1"/>
        <w:numPr>
          <w:ilvl w:val="4"/>
          <w:numId w:val="1"/>
        </w:numPr>
        <w:rPr/>
      </w:pPr>
      <w:r>
        <w:rPr/>
        <w:t>Repair loose seams and bubbles formed due to expansion of turf fabric prior to installation of infill.</w:t>
      </w:r>
    </w:p>
    <w:p>
      <w:pPr>
        <w:pStyle w:val="PR1"/>
        <w:numPr>
          <w:ilvl w:val="4"/>
          <w:numId w:val="1"/>
        </w:numPr>
        <w:rPr/>
      </w:pPr>
      <w:r>
        <w:rPr/>
        <w:t>Evenly broadcast and groom infill by machine in proportions and depth after settling as recommended by the manufacturer, and to meet indicated performance requirements. Rake fibers trapped by infill to surface.</w:t>
      </w:r>
    </w:p>
    <w:p>
      <w:pPr>
        <w:pStyle w:val="CMT"/>
        <w:rPr/>
      </w:pPr>
      <w:r>
        <w:rPr/>
        <w:t>Retain "Painted Game Lines" Paragraph below for synthetic grass surfacing with painted game lines.</w:t>
      </w:r>
    </w:p>
    <w:p>
      <w:pPr>
        <w:pStyle w:val="PR1"/>
        <w:numPr>
          <w:ilvl w:val="4"/>
          <w:numId w:val="1"/>
        </w:numPr>
        <w:rPr/>
      </w:pPr>
      <w:r>
        <w:rPr/>
        <w:t>Painted Game Lines: Apply lines and markings as recommended by the game line paint manufacturer.</w:t>
      </w:r>
    </w:p>
    <w:p>
      <w:pPr>
        <w:pStyle w:val="ART"/>
        <w:numPr>
          <w:ilvl w:val="3"/>
          <w:numId w:val="1"/>
        </w:numPr>
        <w:ind w:hanging="0" w:left="0"/>
        <w:rPr/>
      </w:pPr>
      <w:r>
        <w:rPr/>
        <w:t>FIELD QUALITY CONTROL</w:t>
      </w:r>
    </w:p>
    <w:p>
      <w:pPr>
        <w:pStyle w:val="CMT"/>
        <w:rPr/>
      </w:pPr>
      <w:r>
        <w:rPr/>
        <w:t>Retain "Testing Agency" Paragraph below to identify who performs tests and inspections. If retaining second option in "Testing Agency" Paragraph, retain "Field quality-control reports" Paragraph in "Informational Submittals" Article.</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CMT"/>
        <w:rPr/>
      </w:pPr>
      <w:r>
        <w:rPr/>
        <w:t>Retain "Perform the following tests and inspections" Paragraph below to require Contractor to perform tests and inspections.</w:t>
      </w:r>
    </w:p>
    <w:p>
      <w:pPr>
        <w:pStyle w:val="PR1"/>
        <w:numPr>
          <w:ilvl w:val="4"/>
          <w:numId w:val="1"/>
        </w:numPr>
        <w:rPr/>
      </w:pPr>
      <w:r>
        <w:rPr/>
        <w:t>Perform the following tests and inspections:</w:t>
      </w:r>
    </w:p>
    <w:p>
      <w:pPr>
        <w:pStyle w:val="CMT"/>
        <w:rPr/>
      </w:pPr>
      <w:r>
        <w:rPr/>
        <w:t>Consider requiring permeability testing on base prior to installation of turf fabric.</w:t>
      </w:r>
    </w:p>
    <w:p>
      <w:pPr>
        <w:pStyle w:val="PR2"/>
        <w:numPr>
          <w:ilvl w:val="5"/>
          <w:numId w:val="1"/>
        </w:numPr>
        <w:spacing w:before="240" w:after="0"/>
        <w:rPr/>
      </w:pPr>
      <w:r>
        <w:rPr/>
        <w:t>Permeability: &lt;</w:t>
      </w:r>
      <w:r>
        <w:rPr>
          <w:b/>
        </w:rPr>
        <w:t xml:space="preserve">Insert </w:t>
      </w:r>
      <w:r>
        <w:rPr>
          <w:rStyle w:val="IP"/>
          <w:b/>
        </w:rPr>
        <w:t>inches/h</w:t>
      </w:r>
      <w:r>
        <w:rPr>
          <w:rStyle w:val="SI"/>
          <w:b/>
        </w:rPr>
        <w:t xml:space="preserve"> (mm/h)</w:t>
      </w:r>
      <w:r>
        <w:rPr/>
        <w:t>&gt; of rainfall capacity in accordance with ASTM F2898 or EN 15330-1.</w:t>
      </w:r>
    </w:p>
    <w:p>
      <w:pPr>
        <w:pStyle w:val="PR2"/>
        <w:numPr>
          <w:ilvl w:val="5"/>
          <w:numId w:val="1"/>
        </w:numPr>
        <w:rPr/>
      </w:pPr>
      <w:r>
        <w:rPr/>
        <w:t>Shock Attenuation: No greater than &lt;</w:t>
      </w:r>
      <w:r>
        <w:rPr>
          <w:b/>
        </w:rPr>
        <w:t>Insert value</w:t>
      </w:r>
      <w:r>
        <w:rPr/>
        <w:t>&gt; G(max) at time of installation in accordance with ASTM F1936.</w:t>
      </w:r>
    </w:p>
    <w:p>
      <w:pPr>
        <w:pStyle w:val="ART"/>
        <w:numPr>
          <w:ilvl w:val="3"/>
          <w:numId w:val="1"/>
        </w:numPr>
        <w:ind w:hanging="0" w:left="0"/>
        <w:rPr/>
      </w:pPr>
      <w:r>
        <w:rPr/>
        <w:t>DEMONSTRATION</w:t>
      </w:r>
    </w:p>
    <w:p>
      <w:pPr>
        <w:pStyle w:val="PR1"/>
        <w:numPr>
          <w:ilvl w:val="4"/>
          <w:numId w:val="1"/>
        </w:numPr>
        <w:rPr/>
      </w:pPr>
      <w:r>
        <w:rPr/>
        <w:t>Train Owner's maintenance personnel in proper maintenance procedures for synthetic grass surfacing.</w:t>
      </w:r>
    </w:p>
    <w:p>
      <w:pPr>
        <w:pStyle w:val="EOS"/>
        <w:rPr/>
      </w:pPr>
      <w:r>
        <w:rPr/>
        <w:t>END OF SECTION 321813</w:t>
      </w:r>
    </w:p>
    <w:sectPr>
      <w:headerReference w:type="default" r:id="rId6"/>
      <w:footerReference w:type="defaul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SYNTHETIC GRASS SURFACING</w:t>
          </w:r>
        </w:p>
      </w:tc>
      <w:tc>
        <w:tcPr>
          <w:tcW w:w="1872" w:type="dxa"/>
          <w:tcBorders/>
        </w:tcPr>
        <w:p>
          <w:pPr>
            <w:pStyle w:val="RJUST"/>
            <w:rPr/>
          </w:pPr>
          <w:r>
            <w:rPr>
              <w:rStyle w:val="NUM"/>
            </w:rPr>
            <w:t>321813</w:t>
          </w:r>
          <w:r>
            <w:rPr/>
            <w:t xml:space="preserve"> - </w:t>
          </w:r>
          <w:r>
            <w:rPr/>
            <w:fldChar w:fldCharType="begin"/>
          </w:r>
          <w:r>
            <w:rPr/>
            <w:instrText xml:space="preserve"> PAGE </w:instrText>
          </w:r>
          <w:r>
            <w:rPr/>
            <w:fldChar w:fldCharType="separate"/>
          </w:r>
          <w:r>
            <w:rPr/>
            <w:t>9</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2022 AIA</w:t>
    </w:r>
    <w:r>
      <w:rPr/>
      <w:tab/>
    </w:r>
    <w:r>
      <w:rPr>
        <w:rStyle w:val="SPN"/>
      </w:rPr>
      <w:t>MasterSpec Full Length</w:t>
    </w:r>
    <w:r>
      <w:rPr/>
      <w:tab/>
    </w:r>
    <w:r>
      <w:rPr>
        <w:rStyle w:val="SPD"/>
      </w:rPr>
      <w:t>06/22</w:t>
    </w:r>
    <w:r>
      <mc:AlternateContent>
        <mc:Choice Requires="wps">
          <w:drawing>
            <wp:anchor behindDoc="1" distT="0" distB="0" distL="114935" distR="114935" simplePos="0" locked="0" layoutInCell="1" allowOverlap="1" relativeHeight="10">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22"/>
    <w:docVar w:name="Format" w:val="1"/>
    <w:docVar w:name="MF04" w:val="321813"/>
    <w:docVar w:name="MF95" w:val="02793"/>
    <w:docVar w:name="MFOrigin" w:val="MF04"/>
    <w:docVar w:name="SectionID" w:val="3258"/>
    <w:docVar w:name="SpecType" w:val="MasterSpec"/>
    <w:docVar w:name="Version" w:val="16724"/>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321813&amp;ver=06-01-22&amp;format=FL&amp;sid=16724&amp;utm_source=MasterSpec&amp;utm_medium=Word" TargetMode="External"/><Relationship Id="rId3" Type="http://schemas.openxmlformats.org/officeDocument/2006/relationships/hyperlink" Target="http://www.productmasterspec.com/construction_specifications?mf04=321813&amp;update=ms2022_3&amp;utm_source=MasterSpec&amp;utm_medium=Word" TargetMode="External"/><Relationship Id="rId4" Type="http://schemas.openxmlformats.org/officeDocument/2006/relationships/hyperlink" Target="http://www.specagent.com/LookUp/?ulid=15521&amp;mf=&amp;src=wd" TargetMode="External"/><Relationship Id="rId5" Type="http://schemas.openxmlformats.org/officeDocument/2006/relationships/hyperlink" Target="http://www.specagent.com/LookUp/?ulid=15522&amp;mf=&amp;src=wd" TargetMode="Externa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2022-09-26T03:53:00Z</dcterms:created>
  <dc:creator>Deltek, Inc.</dc:creator>
  <dc:description/>
  <cp:keywords>BAS-12345-MS80</cp:keywords>
  <dc:language>zh-CN</dc:language>
  <cp:lastModifiedBy>Janice Nacional</cp:lastModifiedBy>
  <dcterms:modified xsi:type="dcterms:W3CDTF">2022-09-26T03:53:00Z</dcterms:modified>
  <cp:revision>2</cp:revision>
  <dc:subject>SYNTHETIC GRASS SURFACING</dc:subject>
  <dc:title>SECTION 321813 - SYNTHETIC GRASS SURFACING</dc:title>
</cp:coreProperties>
</file>