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7575B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 w:rsidR="006473E5">
        <w:rPr>
          <w:rFonts w:hint="eastAsia"/>
          <w:sz w:val="24"/>
        </w:rPr>
        <w:t>，其它</w:t>
      </w:r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</w:t>
      </w:r>
      <w:r w:rsidR="008014D6">
        <w:rPr>
          <w:rFonts w:hint="eastAsia"/>
          <w:sz w:val="24"/>
        </w:rPr>
        <w:t>放大</w:t>
      </w:r>
      <w:r>
        <w:rPr>
          <w:rFonts w:hint="eastAsia"/>
          <w:sz w:val="24"/>
        </w:rPr>
        <w:t>查看</w:t>
      </w:r>
      <w:r w:rsidR="008014D6">
        <w:rPr>
          <w:rFonts w:hint="eastAsia"/>
          <w:sz w:val="24"/>
        </w:rPr>
        <w:t>（使用</w:t>
      </w:r>
      <w:r w:rsidR="008014D6" w:rsidRPr="008014D6">
        <w:rPr>
          <w:sz w:val="24"/>
        </w:rPr>
        <w:t>magnific-popup</w:t>
      </w:r>
      <w:r w:rsidR="008014D6">
        <w:rPr>
          <w:rFonts w:hint="eastAsia"/>
          <w:sz w:val="24"/>
        </w:rPr>
        <w:t>.js</w:t>
      </w:r>
      <w:r w:rsidR="008014D6">
        <w:rPr>
          <w:rFonts w:hint="eastAsia"/>
          <w:sz w:val="24"/>
        </w:rPr>
        <w:t>库）</w:t>
      </w:r>
      <w:r>
        <w:rPr>
          <w:rFonts w:hint="eastAsia"/>
          <w:sz w:val="24"/>
        </w:rPr>
        <w:t>。另外，所有附件都可以下载</w:t>
      </w:r>
      <w:r w:rsidR="00EA78B9">
        <w:rPr>
          <w:rFonts w:hint="eastAsia"/>
          <w:sz w:val="24"/>
        </w:rPr>
        <w:t>。</w:t>
      </w:r>
    </w:p>
    <w:p w:rsidR="00C93BC8" w:rsidRDefault="00C93BC8" w:rsidP="00E60837">
      <w:pPr>
        <w:pStyle w:val="a3"/>
        <w:ind w:left="1560" w:firstLineChars="0" w:firstLine="0"/>
        <w:jc w:val="left"/>
        <w:rPr>
          <w:sz w:val="24"/>
        </w:rPr>
      </w:pP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</w:t>
      </w:r>
      <w:r w:rsidR="009A3558">
        <w:rPr>
          <w:rFonts w:hint="eastAsia"/>
          <w:sz w:val="24"/>
        </w:rPr>
        <w:t>多</w:t>
      </w:r>
      <w:r w:rsidR="00CC0401">
        <w:rPr>
          <w:rFonts w:hint="eastAsia"/>
          <w:sz w:val="24"/>
        </w:rPr>
        <w:t>文件类型</w:t>
      </w:r>
      <w:r w:rsidR="001E421E">
        <w:rPr>
          <w:rFonts w:hint="eastAsia"/>
          <w:sz w:val="24"/>
        </w:rPr>
        <w:t>，多个）</w:t>
      </w:r>
      <w:r w:rsidR="006B4187">
        <w:rPr>
          <w:rFonts w:hint="eastAsia"/>
          <w:sz w:val="24"/>
        </w:rPr>
        <w:t>（存储需按</w:t>
      </w:r>
      <w:proofErr w:type="gramStart"/>
      <w:r w:rsidR="006B4187">
        <w:rPr>
          <w:rFonts w:hint="eastAsia"/>
          <w:sz w:val="24"/>
        </w:rPr>
        <w:t>员工号分文件夹</w:t>
      </w:r>
      <w:proofErr w:type="gramEnd"/>
      <w:r w:rsidR="006B4187">
        <w:rPr>
          <w:rFonts w:hint="eastAsia"/>
          <w:sz w:val="24"/>
        </w:rPr>
        <w:t>，</w:t>
      </w:r>
    </w:p>
    <w:p w:rsidR="006B4187" w:rsidRDefault="006B4187" w:rsidP="006B418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数据库存储路径。主要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的配置，不要将文件传到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中）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637C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班次</w:t>
      </w:r>
      <w:r w:rsidR="00C8075E">
        <w:rPr>
          <w:rFonts w:hint="eastAsia"/>
          <w:sz w:val="24"/>
        </w:rPr>
        <w:t>类型（选择，不可空，选项包含：今日</w:t>
      </w:r>
      <w:r w:rsidR="00C8075E">
        <w:rPr>
          <w:rFonts w:hint="eastAsia"/>
          <w:sz w:val="24"/>
        </w:rPr>
        <w:t>/</w:t>
      </w:r>
      <w:r w:rsidR="00C8075E"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002AF6" w:rsidRPr="00C70373" w:rsidRDefault="00C64318" w:rsidP="004969BF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F1269E" w:rsidRPr="00426510" w:rsidRDefault="00F1269E" w:rsidP="00802BF0">
      <w:pPr>
        <w:rPr>
          <w:b/>
          <w:sz w:val="24"/>
        </w:rPr>
      </w:pPr>
      <w:r>
        <w:rPr>
          <w:rFonts w:hint="eastAsia"/>
          <w:sz w:val="24"/>
        </w:rPr>
        <w:t xml:space="preserve">      </w:t>
      </w:r>
      <w:r w:rsidRPr="00426510">
        <w:rPr>
          <w:rFonts w:hint="eastAsia"/>
          <w:b/>
          <w:sz w:val="24"/>
        </w:rPr>
        <w:t>默认显示</w:t>
      </w:r>
      <w:r w:rsidRPr="00426510">
        <w:rPr>
          <w:rFonts w:hint="eastAsia"/>
          <w:b/>
          <w:sz w:val="24"/>
        </w:rPr>
        <w:t xml:space="preserve"> </w:t>
      </w:r>
      <w:r w:rsidRPr="00426510">
        <w:rPr>
          <w:rFonts w:hint="eastAsia"/>
          <w:b/>
          <w:sz w:val="24"/>
        </w:rPr>
        <w:t>今天以前</w:t>
      </w:r>
      <w:r w:rsidRPr="00426510">
        <w:rPr>
          <w:rFonts w:hint="eastAsia"/>
          <w:b/>
          <w:sz w:val="24"/>
        </w:rPr>
        <w:t>20</w:t>
      </w:r>
      <w:r w:rsidRPr="00426510">
        <w:rPr>
          <w:rFonts w:hint="eastAsia"/>
          <w:b/>
          <w:sz w:val="24"/>
        </w:rPr>
        <w:t>天，今天以后</w:t>
      </w:r>
      <w:r w:rsidRPr="00426510">
        <w:rPr>
          <w:rFonts w:hint="eastAsia"/>
          <w:b/>
          <w:sz w:val="24"/>
        </w:rPr>
        <w:t>10</w:t>
      </w:r>
      <w:r w:rsidRPr="00426510">
        <w:rPr>
          <w:rFonts w:hint="eastAsia"/>
          <w:b/>
          <w:sz w:val="24"/>
        </w:rPr>
        <w:t>天，工</w:t>
      </w:r>
      <w:r w:rsidRPr="00426510">
        <w:rPr>
          <w:rFonts w:hint="eastAsia"/>
          <w:b/>
          <w:sz w:val="24"/>
        </w:rPr>
        <w:t>30</w:t>
      </w:r>
      <w:r w:rsidRPr="00426510">
        <w:rPr>
          <w:rFonts w:hint="eastAsia"/>
          <w:b/>
          <w:sz w:val="24"/>
        </w:rPr>
        <w:t>天的排班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59" w:name="_Toc459833957"/>
      <w:r w:rsidRPr="00B038D8">
        <w:rPr>
          <w:rFonts w:hint="eastAsia"/>
          <w:b/>
          <w:sz w:val="40"/>
        </w:rPr>
        <w:t>开发设计</w:t>
      </w:r>
      <w:bookmarkEnd w:id="59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0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0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9"/>
      <w:r>
        <w:rPr>
          <w:rFonts w:hint="eastAsia"/>
          <w:b/>
          <w:sz w:val="28"/>
        </w:rPr>
        <w:t>开发人员</w:t>
      </w:r>
      <w:bookmarkEnd w:id="61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360078" w:rsidRDefault="008F5485" w:rsidP="00360078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2" w:name="_Toc459833960"/>
      <w:r w:rsidRPr="00B038D8">
        <w:rPr>
          <w:rFonts w:hint="eastAsia"/>
          <w:b/>
          <w:sz w:val="28"/>
        </w:rPr>
        <w:t>数据模型</w:t>
      </w:r>
      <w:bookmarkEnd w:id="62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p w:rsidR="00475DFC" w:rsidRDefault="00475DFC" w:rsidP="00F27763">
      <w:pPr>
        <w:pStyle w:val="a3"/>
        <w:numPr>
          <w:ilvl w:val="1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数据数据库表</w:t>
      </w:r>
    </w:p>
    <w:p w:rsidR="00F27763" w:rsidRDefault="00F27763" w:rsidP="00F27763">
      <w:pPr>
        <w:pStyle w:val="a3"/>
        <w:ind w:left="855" w:firstLineChars="0" w:firstLine="0"/>
        <w:jc w:val="left"/>
        <w:outlineLvl w:val="1"/>
        <w:rPr>
          <w:rFonts w:hint="eastAsia"/>
          <w:b/>
          <w:sz w:val="28"/>
        </w:rPr>
      </w:pPr>
      <w:bookmarkStart w:id="63" w:name="_GoBack"/>
      <w:bookmarkEnd w:id="63"/>
    </w:p>
    <w:p w:rsidR="005D1B8B" w:rsidRPr="00863083" w:rsidRDefault="005D1B8B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 w:rsidRPr="00863083">
        <w:rPr>
          <w:sz w:val="26"/>
          <w:szCs w:val="26"/>
        </w:rPr>
        <w:t>S</w:t>
      </w:r>
      <w:r w:rsidRPr="00863083">
        <w:rPr>
          <w:rFonts w:hint="eastAsia"/>
          <w:sz w:val="26"/>
          <w:szCs w:val="26"/>
        </w:rPr>
        <w:t xml:space="preserve">taff: </w:t>
      </w:r>
      <w:r w:rsidRPr="00863083">
        <w:rPr>
          <w:rFonts w:hint="eastAsia"/>
          <w:sz w:val="26"/>
          <w:szCs w:val="26"/>
        </w:rPr>
        <w:t>员工</w:t>
      </w:r>
    </w:p>
    <w:p w:rsidR="005D1B8B" w:rsidRPr="00863083" w:rsidRDefault="005D1B8B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r w:rsidRPr="00863083">
        <w:rPr>
          <w:rFonts w:hint="eastAsia"/>
          <w:sz w:val="26"/>
          <w:szCs w:val="26"/>
        </w:rPr>
        <w:t>Company</w:t>
      </w:r>
      <w:r w:rsidRPr="00863083">
        <w:rPr>
          <w:rFonts w:hint="eastAsia"/>
          <w:sz w:val="26"/>
          <w:szCs w:val="26"/>
        </w:rPr>
        <w:t>：公司</w:t>
      </w:r>
    </w:p>
    <w:p w:rsidR="007E2BE4" w:rsidRPr="00863083" w:rsidRDefault="007E2BE4" w:rsidP="007E2BE4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proofErr w:type="spellStart"/>
      <w:r w:rsidRPr="00863083">
        <w:rPr>
          <w:sz w:val="26"/>
          <w:szCs w:val="26"/>
        </w:rPr>
        <w:t>SystemSetting</w:t>
      </w:r>
      <w:proofErr w:type="spellEnd"/>
      <w:r w:rsidR="00736A9E">
        <w:rPr>
          <w:rFonts w:hint="eastAsia"/>
          <w:sz w:val="26"/>
          <w:szCs w:val="26"/>
        </w:rPr>
        <w:t>：</w:t>
      </w:r>
      <w:r w:rsidR="00736A9E" w:rsidRPr="00863083">
        <w:rPr>
          <w:rFonts w:hint="eastAsia"/>
          <w:sz w:val="26"/>
          <w:szCs w:val="26"/>
        </w:rPr>
        <w:t>系统配置表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daysBeforeAlertStaffGoFull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goFullAlertMails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转正提醒邮件接收地址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证照未登记邮件接收地址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attendanceExceptionAlertMails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repeatAttendanceRecordTime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validAttendanceRecordTime</w:t>
            </w:r>
            <w:proofErr w:type="spellEnd"/>
          </w:p>
        </w:tc>
        <w:tc>
          <w:tcPr>
            <w:tcW w:w="1131" w:type="dxa"/>
          </w:tcPr>
          <w:p w:rsidR="00930D64" w:rsidRDefault="0096711B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3613" w:type="dxa"/>
          </w:tcPr>
          <w:p w:rsidR="00930D64" w:rsidRDefault="00930D64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小时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lateExceptionTime</w:t>
            </w:r>
            <w:proofErr w:type="spellEnd"/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earlyLeaveExceptionTime</w:t>
            </w:r>
            <w:proofErr w:type="spellEnd"/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F635E2" w:rsidRDefault="00F635E2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F635E2" w:rsidRDefault="00F635E2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F635E2" w:rsidRDefault="00F635E2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F635E2" w:rsidRDefault="00F635E2" w:rsidP="00E20FCA">
      <w:pPr>
        <w:pStyle w:val="a8"/>
      </w:pPr>
      <w:r>
        <w:rPr>
          <w:rStyle w:val="a7"/>
        </w:rPr>
        <w:annotationRef/>
      </w:r>
    </w:p>
    <w:p w:rsidR="00F635E2" w:rsidRDefault="00F635E2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F635E2" w:rsidRDefault="00F635E2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F635E2" w:rsidRDefault="00F635E2" w:rsidP="00A25CC9">
      <w:pPr>
        <w:pStyle w:val="a8"/>
      </w:pPr>
      <w:r>
        <w:rPr>
          <w:rStyle w:val="a7"/>
        </w:rPr>
        <w:annotationRef/>
      </w:r>
    </w:p>
    <w:p w:rsidR="00F635E2" w:rsidRDefault="00F635E2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75B" w:rsidRDefault="0007575B" w:rsidP="00693915">
      <w:r>
        <w:separator/>
      </w:r>
    </w:p>
  </w:endnote>
  <w:endnote w:type="continuationSeparator" w:id="0">
    <w:p w:rsidR="0007575B" w:rsidRDefault="0007575B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75B" w:rsidRDefault="0007575B" w:rsidP="00693915">
      <w:r>
        <w:separator/>
      </w:r>
    </w:p>
  </w:footnote>
  <w:footnote w:type="continuationSeparator" w:id="0">
    <w:p w:rsidR="0007575B" w:rsidRDefault="0007575B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575B"/>
    <w:rsid w:val="00076B21"/>
    <w:rsid w:val="00080F01"/>
    <w:rsid w:val="000936A5"/>
    <w:rsid w:val="00093BA3"/>
    <w:rsid w:val="000B0A04"/>
    <w:rsid w:val="000B30F5"/>
    <w:rsid w:val="000B48CD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7334"/>
    <w:rsid w:val="0019036B"/>
    <w:rsid w:val="00195877"/>
    <w:rsid w:val="0019600C"/>
    <w:rsid w:val="00197191"/>
    <w:rsid w:val="001A37AD"/>
    <w:rsid w:val="001A5EE7"/>
    <w:rsid w:val="001B0E7B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60078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26510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5DFC"/>
    <w:rsid w:val="00476E28"/>
    <w:rsid w:val="00481CD2"/>
    <w:rsid w:val="00491ED5"/>
    <w:rsid w:val="00491F21"/>
    <w:rsid w:val="004969BF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1B8B"/>
    <w:rsid w:val="005D22EA"/>
    <w:rsid w:val="005D264C"/>
    <w:rsid w:val="005E140F"/>
    <w:rsid w:val="005E7FDD"/>
    <w:rsid w:val="005F37CB"/>
    <w:rsid w:val="005F688E"/>
    <w:rsid w:val="006174B1"/>
    <w:rsid w:val="006175B1"/>
    <w:rsid w:val="00631412"/>
    <w:rsid w:val="00633A7F"/>
    <w:rsid w:val="0063601B"/>
    <w:rsid w:val="00637C5E"/>
    <w:rsid w:val="006473E5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B4187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36A9E"/>
    <w:rsid w:val="00743F91"/>
    <w:rsid w:val="00753775"/>
    <w:rsid w:val="007561A1"/>
    <w:rsid w:val="00757CFC"/>
    <w:rsid w:val="00761E72"/>
    <w:rsid w:val="00767B57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E2BE4"/>
    <w:rsid w:val="007F2A25"/>
    <w:rsid w:val="007F3A64"/>
    <w:rsid w:val="008014D6"/>
    <w:rsid w:val="00801656"/>
    <w:rsid w:val="00802BF0"/>
    <w:rsid w:val="00807B58"/>
    <w:rsid w:val="00810D9B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63083"/>
    <w:rsid w:val="008743E0"/>
    <w:rsid w:val="008832D4"/>
    <w:rsid w:val="008A743A"/>
    <w:rsid w:val="008B5C25"/>
    <w:rsid w:val="008B5D39"/>
    <w:rsid w:val="008B66AC"/>
    <w:rsid w:val="008B6D22"/>
    <w:rsid w:val="008C2CAA"/>
    <w:rsid w:val="008C7F51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6711B"/>
    <w:rsid w:val="00980010"/>
    <w:rsid w:val="0098241B"/>
    <w:rsid w:val="00982B3F"/>
    <w:rsid w:val="009A3558"/>
    <w:rsid w:val="009B1016"/>
    <w:rsid w:val="009B5CAB"/>
    <w:rsid w:val="009C1BDC"/>
    <w:rsid w:val="009D1BBC"/>
    <w:rsid w:val="009D68BC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BC8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27C3"/>
    <w:rsid w:val="00CF3D5B"/>
    <w:rsid w:val="00CF63B2"/>
    <w:rsid w:val="00CF6EB8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DF67A9"/>
    <w:rsid w:val="00E2081E"/>
    <w:rsid w:val="00E20FBD"/>
    <w:rsid w:val="00E20FCA"/>
    <w:rsid w:val="00E22DB3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269E"/>
    <w:rsid w:val="00F14C20"/>
    <w:rsid w:val="00F17FC7"/>
    <w:rsid w:val="00F24E9F"/>
    <w:rsid w:val="00F27763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628C5-6322-47E0-A68E-59F7A33E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22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419</cp:revision>
  <cp:lastPrinted>2016-08-29T00:51:00Z</cp:lastPrinted>
  <dcterms:created xsi:type="dcterms:W3CDTF">2016-08-22T04:55:00Z</dcterms:created>
  <dcterms:modified xsi:type="dcterms:W3CDTF">2016-09-05T02:54:00Z</dcterms:modified>
</cp:coreProperties>
</file>