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1.png" ContentType="image/png"/>
  <Override PartName="/word/media/image12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center"/>
      </w:pPr>
      <w:r>
        <w:rPr>
          <w:b/>
          <w:bCs/>
        </w:rPr>
        <w:t xml:space="preserve">申请 </w:t>
      </w:r>
      <w:r>
        <w:rPr>
          <w:b/>
          <w:bCs/>
        </w:rPr>
        <w:t>OAuth2.0 AccessToken V1</w:t>
      </w:r>
    </w:p>
    <w:p>
      <w:pPr>
        <w:pStyle w:val="style22"/>
        <w:jc w:val="center"/>
      </w:pPr>
      <w:r>
        <w:rPr/>
      </w:r>
    </w:p>
    <w:p>
      <w:pPr>
        <w:pStyle w:val="style22"/>
        <w:jc w:val="left"/>
      </w:pPr>
      <w:r>
        <w:rPr>
          <w:b/>
          <w:bCs/>
        </w:rPr>
        <w:t>一</w:t>
      </w:r>
      <w:r>
        <w:rPr>
          <w:b/>
          <w:bCs/>
        </w:rPr>
        <w:t>. OAuth2.0</w:t>
      </w:r>
      <w:r>
        <w:rPr>
          <w:b/>
          <w:bCs/>
        </w:rPr>
        <w:t>简介</w:t>
      </w:r>
    </w:p>
    <w:p>
      <w:pPr>
        <w:pStyle w:val="style22"/>
        <w:jc w:val="left"/>
      </w:pPr>
      <w:r>
        <w:rPr/>
      </w:r>
    </w:p>
    <w:p>
      <w:pPr>
        <w:pStyle w:val="style22"/>
        <w:jc w:val="left"/>
      </w:pPr>
      <w:hyperlink r:id="rId2">
        <w:r>
          <w:rPr>
            <w:rStyle w:val="style15"/>
            <w:rStyle w:val="style15"/>
            <w:b/>
            <w:bCs/>
          </w:rPr>
          <w:t>http://oauth.net/2/</w:t>
        </w:r>
      </w:hyperlink>
    </w:p>
    <w:p>
      <w:pPr>
        <w:pStyle w:val="style22"/>
        <w:jc w:val="left"/>
      </w:pPr>
      <w:r>
        <w:rPr/>
      </w:r>
    </w:p>
    <w:p>
      <w:pPr>
        <w:pStyle w:val="style22"/>
        <w:jc w:val="left"/>
      </w:pPr>
      <w:r>
        <w:rPr>
          <w:b/>
          <w:bCs/>
        </w:rPr>
        <w:t>二</w:t>
      </w:r>
      <w:r>
        <w:rPr>
          <w:b/>
          <w:bCs/>
        </w:rPr>
        <w:t xml:space="preserve">. AccessToken </w:t>
      </w:r>
      <w:r>
        <w:rPr>
          <w:b/>
          <w:bCs/>
        </w:rPr>
        <w:t>申请流程</w:t>
      </w:r>
    </w:p>
    <w:p>
      <w:pPr>
        <w:pStyle w:val="style22"/>
        <w:jc w:val="left"/>
      </w:pPr>
      <w:r>
        <w:rPr/>
      </w:r>
    </w:p>
    <w:p>
      <w:pPr>
        <w:pStyle w:val="style22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</w:rPr>
        <w:t>使用</w:t>
      </w:r>
      <w:r>
        <w:rPr>
          <w:b w:val="false"/>
          <w:bCs w:val="false"/>
        </w:rPr>
        <w:t>Admin</w:t>
      </w:r>
      <w:r>
        <w:rPr>
          <w:b w:val="false"/>
          <w:bCs w:val="false"/>
        </w:rPr>
        <w:t>帐号登录</w:t>
      </w:r>
      <w:r>
        <w:rPr>
          <w:b w:val="false"/>
          <w:bCs w:val="false"/>
        </w:rPr>
        <w:t>ClearInsight</w:t>
      </w:r>
      <w:r>
        <w:rPr>
          <w:b w:val="false"/>
          <w:bCs w:val="false"/>
        </w:rPr>
        <w:t>主站</w:t>
      </w:r>
    </w:p>
    <w:p>
      <w:pPr>
        <w:pStyle w:val="style22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</w:rPr>
        <w:t>在</w:t>
      </w:r>
      <w:r>
        <w:rPr>
          <w:b/>
          <w:bCs/>
        </w:rPr>
        <w:t>管理</w:t>
      </w:r>
      <w:r>
        <w:rPr>
          <w:b w:val="false"/>
          <w:bCs w:val="false"/>
        </w:rPr>
        <w:t>菜单栏选择</w:t>
      </w:r>
      <w:r>
        <w:rPr>
          <w:b/>
          <w:bCs/>
        </w:rPr>
        <w:t>OAuth</w:t>
      </w:r>
    </w:p>
    <w:p>
      <w:pPr>
        <w:pStyle w:val="style22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</w:rPr>
        <w:t>新建</w:t>
      </w:r>
      <w:r>
        <w:rPr>
          <w:b w:val="false"/>
          <w:bCs w:val="false"/>
        </w:rPr>
        <w:t>Appliaction</w:t>
      </w:r>
    </w:p>
    <w:p>
      <w:pPr>
        <w:pStyle w:val="style22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513080</wp:posOffset>
            </wp:positionH>
            <wp:positionV relativeFrom="line">
              <wp:posOffset>-36195</wp:posOffset>
            </wp:positionV>
            <wp:extent cx="4872990" cy="156654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jc w:val="left"/>
      </w:pPr>
      <w:r>
        <w:rPr/>
      </w:r>
    </w:p>
    <w:p>
      <w:pPr>
        <w:pStyle w:val="style22"/>
        <w:numPr>
          <w:ilvl w:val="0"/>
          <w:numId w:val="1"/>
        </w:numPr>
        <w:jc w:val="left"/>
      </w:pPr>
      <w:r>
        <w:rPr>
          <w:b w:val="false"/>
          <w:bCs w:val="false"/>
        </w:rPr>
        <w:t>填写</w:t>
      </w:r>
      <w:r>
        <w:rPr>
          <w:b w:val="false"/>
          <w:bCs w:val="false"/>
        </w:rPr>
        <w:t>Application</w:t>
      </w:r>
      <w:r>
        <w:rPr>
          <w:b w:val="false"/>
          <w:bCs w:val="false"/>
        </w:rPr>
        <w:t>信息</w:t>
      </w:r>
    </w:p>
    <w:p>
      <w:pPr>
        <w:pStyle w:val="style22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558800</wp:posOffset>
            </wp:positionH>
            <wp:positionV relativeFrom="paragraph">
              <wp:posOffset>66040</wp:posOffset>
            </wp:positionV>
            <wp:extent cx="4384675" cy="152590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numPr>
          <w:ilvl w:val="0"/>
          <w:numId w:val="1"/>
        </w:numPr>
        <w:jc w:val="left"/>
      </w:pPr>
      <w:r>
        <w:rPr>
          <w:b w:val="false"/>
          <w:bCs w:val="false"/>
        </w:rPr>
        <w:t>提交，生成</w:t>
      </w:r>
      <w:r>
        <w:rPr>
          <w:b w:val="false"/>
          <w:bCs w:val="false"/>
        </w:rPr>
        <w:t>AccessToken</w:t>
      </w:r>
    </w:p>
    <w:p>
      <w:pPr>
        <w:pStyle w:val="style22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438150</wp:posOffset>
            </wp:positionH>
            <wp:positionV relativeFrom="line">
              <wp:posOffset>177165</wp:posOffset>
            </wp:positionV>
            <wp:extent cx="4987290" cy="215074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jc w:val="left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5067300</wp:posOffset>
            </wp:positionH>
            <wp:positionV relativeFrom="line">
              <wp:posOffset>2326005</wp:posOffset>
            </wp:positionV>
            <wp:extent cx="1041400" cy="95948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jc w:val="left"/>
      </w:pPr>
      <w:r>
        <w:rPr/>
      </w:r>
    </w:p>
    <w:p>
      <w:pPr>
        <w:pStyle w:val="style22"/>
        <w:numPr>
          <w:ilvl w:val="0"/>
          <w:numId w:val="1"/>
        </w:numPr>
        <w:jc w:val="left"/>
      </w:pPr>
      <w:r>
        <w:rPr>
          <w:b w:val="false"/>
          <w:bCs w:val="false"/>
        </w:rPr>
        <w:t>完成，</w:t>
      </w:r>
      <w:r>
        <w:rPr>
          <w:b w:val="false"/>
          <w:bCs w:val="false"/>
        </w:rPr>
        <w:t>AccessToken</w:t>
      </w:r>
      <w:r>
        <w:rPr>
          <w:b w:val="false"/>
          <w:bCs w:val="false"/>
        </w:rPr>
        <w:t>有效期永久有效</w:t>
      </w:r>
    </w:p>
    <w:p>
      <w:pPr>
        <w:pStyle w:val="style22"/>
        <w:jc w:val="left"/>
      </w:pPr>
      <w:r>
        <w:rPr/>
      </w:r>
    </w:p>
    <w:p>
      <w:pPr>
        <w:pStyle w:val="style22"/>
        <w:jc w:val="left"/>
      </w:pPr>
      <w:r>
        <w:rPr/>
      </w:r>
    </w:p>
    <w:p>
      <w:pPr>
        <w:pStyle w:val="style22"/>
        <w:jc w:val="right"/>
      </w:pPr>
      <w:r>
        <w:rPr>
          <w:b w:val="false"/>
          <w:bCs w:val="false"/>
        </w:rPr>
        <w:t xml:space="preserve"> </w:t>
      </w:r>
    </w:p>
    <w:p>
      <w:pPr>
        <w:pStyle w:val="style22"/>
        <w:jc w:val="right"/>
      </w:pPr>
      <w:r>
        <w:rPr>
          <w:b w:val="false"/>
          <w:bCs w:val="false"/>
        </w:rPr>
        <w:t xml:space="preserve">20140319 ClearInsight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character">
    <w:name w:val="项目符号"/>
    <w:next w:val="style16"/>
    <w:rPr>
      <w:rFonts w:ascii="OpenSymbol" w:cs="OpenSymbol" w:eastAsia="OpenSymbol" w:hAnsi="OpenSymbol"/>
    </w:rPr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  <w:style w:styleId="style22" w:type="paragraph">
    <w:name w:val="预格式化的正文"/>
    <w:basedOn w:val="style0"/>
    <w:next w:val="style22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auth.net/2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