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产品FAST项目计划跟踪报告</w:t>
      </w:r>
    </w:p>
    <w:p>
      <w:pPr>
        <w:ind w:firstLine="432"/>
        <w:jc w:val="center"/>
      </w:pPr>
      <w:r>
        <w:t>&gt;&gt;&gt; 报告生成日期【Tue May 08 18:18:49 2018】 &lt;&lt;&lt;</w:t>
      </w:r>
    </w:p>
    <w:p>
      <w:pPr>
        <w:pStyle w:val="Heading1"/>
        <w:jc w:val="left"/>
      </w:pPr>
      <w:r>
        <w:t>项目基本信息</w:t>
      </w:r>
    </w:p>
    <w:p>
      <w:pPr>
        <w:ind w:firstLine="432"/>
        <w:jc w:val="left"/>
      </w:pPr>
      <w:r>
        <w:t>项目名称：应用支撑云平台FASTV3.0</w:t>
      </w:r>
    </w:p>
    <w:p>
      <w:pPr>
        <w:ind w:firstLine="432"/>
        <w:jc w:val="left"/>
      </w:pPr>
      <w:r>
        <w:t>项目编号：PRD-2017-PROJ-00003</w:t>
      </w:r>
    </w:p>
    <w:p>
      <w:pPr>
        <w:ind w:firstLine="432"/>
        <w:jc w:val="left"/>
      </w:pPr>
      <w:r>
        <w:t>项目负责人：许文宝</w:t>
      </w:r>
    </w:p>
    <w:p>
      <w:pPr>
        <w:ind w:firstLine="432"/>
        <w:jc w:val="left"/>
      </w:pPr>
      <w:r>
        <w:t>项目起止日期：2017年9月21日 至 2018年2月5日</w:t>
      </w:r>
    </w:p>
    <w:p>
      <w:pPr>
        <w:ind w:firstLine="432"/>
        <w:jc w:val="left"/>
      </w:pPr>
      <w:r>
        <w:t>项目预算（工时成本）：200.2 万元</w:t>
      </w:r>
    </w:p>
    <w:p>
      <w:pPr>
        <w:ind w:firstLine="432"/>
        <w:jc w:val="left"/>
      </w:pPr>
      <w:r>
        <w:t>项目功能简介：1.资源规划，2.资源介入，3.应用管理，4.应用数据持久，5.应用运维，6.运维支撑，7.人员管理，8.资源隔离，9.审计管理</w:t>
      </w:r>
    </w:p>
    <w:p>
      <w:pPr>
        <w:ind w:firstLine="432"/>
        <w:jc w:val="left"/>
      </w:pPr>
      <w:r>
        <w:t>里程碑：V3.0 最终里程碑（3），从 2018-04-09 到 2018-05-18</w:t>
      </w:r>
    </w:p>
    <w:p>
      <w:pPr>
        <w:ind w:firstLine="432"/>
        <w:jc w:val="left"/>
      </w:pPr>
      <w:r>
        <w:t>当前阶段：Fast-Sprint 9，从 2018-05-02 至 2018-05-11</w:t>
      </w:r>
    </w:p>
    <w:p>
      <w:pPr>
        <w:pStyle w:val="Heading1"/>
        <w:jc w:val="left"/>
      </w:pPr>
      <w:r>
        <w:t>情况总览</w:t>
      </w:r>
    </w:p>
    <w:p>
      <w:pPr>
        <w:ind w:firstLine="432"/>
        <w:jc w:val="left"/>
      </w:pPr>
      <w:r>
        <w:t>项目共有 27 个EPIC被分解到 353 个功能点的 693 个任务上。</w:t>
      </w:r>
    </w:p>
    <w:p>
      <w:pPr>
        <w:ind w:firstLine="432"/>
        <w:jc w:val="left"/>
      </w:pPr>
      <w:r>
        <w:t>目前已完成 292 个功能点（完成率82.72%）和 557 个任务（完成率80.38%）。</w:t>
      </w:r>
    </w:p>
    <w:p>
      <w:pPr>
        <w:pStyle w:val="Heading1"/>
        <w:jc w:val="left"/>
      </w:pPr>
      <w:r>
        <w:t>本里程碑的基本情况</w:t>
      </w:r>
    </w:p>
    <w:p>
      <w:pPr>
        <w:ind w:firstLine="432"/>
        <w:jc w:val="left"/>
      </w:pPr>
      <w:r>
        <w:t>本阶段共有 200 个功能点，已完成 167 个，完成率 83.00%，明细如下：</w:t>
      </w:r>
    </w:p>
    <w:tbl>
      <w:tblPr>
        <w:tblStyle w:val="MediumList1"/>
        <w:tblW w:type="auto" w:w="0"/>
        <w:jc w:val="center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10080"/>
          </w:tcPr>
          <w:p>
            <w:pPr>
              <w:spacing w:before="40" w:after="40"/>
            </w:pPr>
            <w:r>
              <w:rPr>
                <w:sz w:val="16"/>
              </w:rPr>
              <w:t>功能名称</w:t>
            </w:r>
          </w:p>
        </w:tc>
        <w:tc>
          <w:tcPr>
            <w:tcW w:type="dxa" w:w="1440"/>
          </w:tcPr>
          <w:p>
            <w:pPr>
              <w:spacing w:before="40" w:after="40"/>
            </w:pPr>
            <w:r>
              <w:rPr>
                <w:sz w:val="16"/>
              </w:rPr>
              <w:t>状态</w:t>
            </w:r>
          </w:p>
        </w:tc>
        <w:tc>
          <w:tcPr>
            <w:tcW w:type="dxa" w:w="10080"/>
          </w:tcPr>
          <w:p>
            <w:pPr>
              <w:spacing w:before="40" w:after="40"/>
            </w:pPr>
            <w:r>
              <w:rPr>
                <w:sz w:val="16"/>
              </w:rPr>
              <w:t>功能名称</w:t>
            </w:r>
          </w:p>
        </w:tc>
        <w:tc>
          <w:tcPr>
            <w:tcW w:type="dxa" w:w="1440"/>
          </w:tcPr>
          <w:p>
            <w:pPr>
              <w:spacing w:before="40" w:after="40"/>
            </w:pPr>
            <w:r>
              <w:rPr>
                <w:sz w:val="16"/>
              </w:rPr>
              <w:t>状态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告警历史 - 刷新告警历史列表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测试中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告警历史 - 查看告警历史列表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测试中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告警历史 - 刷新告警历史列表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测试中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告警历史 - 查看告警历史列表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测试中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告警策略 - 解除绑定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告警策略 - 绑定资源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告警策略 - 删除告警策略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告警策略 - 修改告警策略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告警策略 - 查看告警策略详情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告警策略 - 新建告警策略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告警策略 - 查看告警策略列表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【功能开发】容器应用管理开发-配置组管理-查看配置组列表-后端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【功能开发】容器应用管理开发-配置组管理-查看配置组列表-前端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【功能开发】容器应用管理开发-配置组管理-查看关联服务-应用微服务提供查询关联服务接口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【功能开发】容器应用管理开发-配置组管理-配置组静态页面开发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【功能开发】容器应用管理开发-配置组管理-新建配置组-后端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【功能开发】容器应用管理开发-配置组管理-新建配置组-前端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系统日志 - 下载系统日志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待办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登录日志 - 查询登录日志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待测试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登录日志 - 查看登录日志列表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待测试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【功能开发】审计管理-查看审计日志列表 - 前端任务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【功能开发】审计管理-查看登录日志列表- 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【功能开发】审计管理-查看登录日志列表- 前端任务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【功能开发】审计管理-查看操作日志列表- 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【功能开发】审计管理-查看操作日志列表- 前端任务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【功能开发】审计管理-审计管理静态页面开发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【功能开发】容器应用管理开发-访问入口管理-访问入口工程合并与优化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【功能开发】容器应用管理开发-访问入口管理-查看访问入口列表-高级查询前端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【功能开发】容器应用管理开发-存储卷管理-删除存储卷-前/后端任务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【功能开发】容器应用管理开发-存储卷管理-新建存储卷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【功能开发】容器应用管理开发-访问入口管理-修改访问入口-异步改同步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【功能开发】容器应用管理开发-访问入口管理-新建访问入口-后端任务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【功能开发】-Kubernetes Resource-访问入口（isto绑定及流程定义）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【功能开发】Kubernetes Api微服务开发-存储管理（一）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【功能开发】容器应用管理开发-访问入口管理-修改访问入口-后端开发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容器应用管理开发-访问入口-删除访问入口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【功能开发】访问入口-修改访问入口前端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【功能开发】容器应用管理开发-存储池-工程手段植入存储池-预置Kubernetes存储池模板+ insert sql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【功能开发】容器应用管理开发-存储卷管理-新建存储卷（后端）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【功能开发】容器应用管理开发-存储卷管理-新建存储卷（前端）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个人中心 - 修改密码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测试中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个人中心 - 消息接收设置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测试中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个人中心 - 个人设置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测试中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个人中心 - 查看个人信息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测试中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我的消息 - 查看消息详情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测试中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我的消息 - 全部已读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我的消息 - 标记已读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我的消息 - 查看消息提示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测试中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我的消息 - 查看已读消息列表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我的消息 - 查看未读消息列表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我的消息 - 查看全部消息列表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工单管理 - 锁定类型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待测试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工单管理 - 锁定工单类型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待测试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工单管理 - 删除工单类型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测试中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工单管理 - 修改工单类型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测试中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工单管理 - 工单类型列表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待测试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工单管理 - 新建工单类型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测试中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工单管理 - 完成工单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工单管理 - 签收工单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工单管理 - 系统全部工单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工单管理 - 已办工单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测试中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工单管理 - 待办工单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测试中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工单管理 - 撤销工单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工单管理 - 工单详情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工单管理 - 修改工单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工单管理 - 已完成工单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工单管理 - 未完成工单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工单管理 - 全部工单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工单管理 - 提交工单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工单管理 - 新建工单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【功能开发】系统支撑-个人中心- 新建工单-后端任务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【功能开发】系统支撑-个人中心- 工单类型-后端查询、删除接口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【功能开发】系统支撑-个人中心- 消息接收设置-后端任务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【功能开发】系统支撑-个人中心- 消息接收设置-前端任务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【功能开发】系统支撑-系统支撑静态页面开发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[功能开发]系统支撑-工单类型创建、修改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安全配置 - 账户安全配置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待测试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安全配置 - 用户会话配置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待测试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邮件服务器配置 - 邮件服务器配置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待测试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系统参数配置 - 系统日志配置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待测试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系统参数配置 - 监控配置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待测试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系统参数配置 - 应用配置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个性化配置 - 自定义菜单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个性化配置 - 系统信息修改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【功能开发】系统配置-系统信息修改-前端任务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【功能开发】系统配置-系统配置静态页面开发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【项目运维】Sprint 8 环境运维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【项目运维】Sprint 7 项目运维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【项目管理】Fast-Sprint 9迭代管理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待办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【项目管理】Fast-Sprint 8迭代管理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【项目管理】Sprint 7 项目管理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【迭代会议】Fast-Sprint 9迭代会议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待办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【项目会议】Fast-Sprint 8迭代会议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【项目会议】Sprint 7 迭代会议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【技术改造】Sprint 7 技术改造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【技术改造】里程碑3技术改造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处理中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【项目入侵】电科云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【项目入侵】Sprint 7 项目入侵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【项目入侵】里程碑3项目入侵统计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【项目入侵】电科云演示内容调试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【项目入侵】安徽高检whitehole转测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【项目入侵】广西博览合作伙伴应用容器化并部署到Mir2系统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【功能开发】Kubernetes Api微服务开发-应用管理-服务生命周期管理-灰度升级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应用 -取消置顶应用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测试中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应用 - 置顶应用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测试中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【功能开发】K8S集群环境管理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【功能开发】Kubernetes Api微服务开发-应用管理-服务生命周期管理-滚动升级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【功能开发】容器应用管理开发-服务管理-网络安全-后端任务-异步调用改同步调用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【功能开发】Kubernetes Api微服务开发-应用管理-弹性伸缩生命周期管理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【功能开发】Kubernetes Api微服务开发-应用管理-容器生命周期管理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【功能开发】Kubernetes Api微服务开发-应用管理-网络安全生命周期管理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【功能开发】Kubernetes Api微服务开发-应用管理-服务生命周期管理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【功能开发】应用管理-服务管理-灰度升级-后端任务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【功能开发】应用管理-服务管理-灰度升级-前端任务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【功能开发】应用管理-容器重建-前/后端任务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【功能开发】应用管理-启动服务-前/后端任务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【功能开发】应用管理-停止应用-前/后端任务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【功能开发】应用管理-查看容器详情-容器进程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【功能开发】应用管理-启动应用-前/后端任务（调启动服务接口）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【功能开发】应用管理容器-查看容器详情-容器日志后端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【功能开发】应用管理-查看容器详情-前端任务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【功能开发】容器应用管理开发-应用管理-查看容器详情-容器进程后端-容器进程K8s端监控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【功能开发】容器应用管理开发-应用管理-查看容器详情-容器日志后端-容器日志k8s端监控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【功能开发】服务管理-容器终端-后端任务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【功能开发】-Kubernetes Resource-分区管理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【功能开发】服务管理-容器终端-前端任务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【功能开发】容器应用管理开发-服务管理-网络安全-前端任务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【功能开发】容器应用管理开发-应用管理-查看容器详情-容器进程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服务管理-滚动升级-前端任务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【功能开发】容器应用管理开发-应用管理-查看容器详情-容器日志后端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【功能开发】Kubernetes Api微服务开发-应用管理-应用生命周期管理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【功能开发】容器应用管理开发-应用管理-查看容器详情-监控后端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【功能开发】应用管理-容器列表高级筛选页面变更开发（前端）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【功能开发】应用管理-服务列表高级筛选页面变更开发（前端）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【功能开发】应用管理-应用列表高级筛选页面变更开发（前端）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【功能开发】应用管理-切换前端分区静态页面（前端）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【功能开发】应用管理-查看容器详情（前端）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【功能开发】应用管理-查看容器列表（前端）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【功能开发】蓝图管理-蓝图详情-资源数量统计和资源使用统计接口开发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【功能开发】应用管理-应用资源统计-后端任务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【功能开发】用户权限数据初始化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处理中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【功能开发】用户管理-权限读取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应用蓝图 - 从镜像快速新建蓝图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测试中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【功能开发】蓝图管理-部署版本-后端-异步改同步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【功能开发】蓝图管理=蓝图版本部署应用前端任务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【功能开发】蓝图管理-蓝图版本详情-服务列表修改服务-后端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【功能开发】蓝图管理-蓝图版本详情-服务列表修改服务-前端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【功能开发】蓝图管理-蓝图版本详情-服务列表删除服务-后端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【功能开发】蓝图管理-蓝图版本详情-服务列表删除服务-前端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【功能开发】容器应用管理开发-蓝图管理-服务列表-后端任务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【功能开发】容器应用管理开发-蓝图管理-修改蓝图-前端任务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【功能开发】容器应用管理开发-蓝图管理-修改蓝图-后端任务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【功能开发】容器应用管理开发-蓝图管理-新建蓝图-后端任务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【功能开发】容器应用管理开发-蓝图管理-查看版本详情-前端任务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【功能开发】蓝图版本部署静态页面变更（前端）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【功能开发】从编排创建蓝图前端任务开发（前端）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【功能开发】从版本创建蓝图前端任务开发（前端）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【功能开发】从镜像创建蓝图前端任务开发（前端）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【功能开发】从编排创建蓝图前段静态页面变更（前端）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【功能开发】从版本创建蓝图前段静态页面变更（前端）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【功能开发】从镜像创建蓝图前段静态页面变更（前端）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【功能开发】蓝图管理-部署版本 后端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【功能开发】镜像管理-上传程序包/上传镜像镜像类型支持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【功能开发】镜像管理-镜像分类前端任务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【功能开发】镜像管理-镜像分类后端任务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【功能开发】容器应用管理开发-镜像管理-修改镜像-前/后端任务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【功能开发】应用管理-启动服务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【功能开发】容器应用管理-镜像管理-上传程序包异常定义及处理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【功能开发】容器应用管理-镜像管理-上传程序包k8s对象处理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【功能开发】容器应用管理-应用管理-应用(容器)蓝图(版本)引用接口开发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【功能开发】蓝图管理-蓝图详情 前端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【功能开发】分区管理-查看分区详情 前端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【功能开发】公共服务开发-开发标准-扩展样式规范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【功能开发】应用管理-启动应用 后端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【功能开发】应用管理-启动应用 前端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【功能开发】容器应用管理开发-应用管理-查看服务列表-前端任务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【功能开发】应用管理-容器静态页面开发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【功能开发】应用管理-修改应用 后端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【功能开发】应用管理-修改应用 前端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【功能开发】应用管理-查看应用详情 后端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【功能开发】应用管理-查看应用详情 前端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【功能开发】应用管理-查看应用列表 前端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【功能开发】容器应用管理-启动应用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【功能开发】容器应用管理-删除应用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【功能开发】Kubernetes Resource-容器监听消息推送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【功能开发】资源规划-分区管理-后端任务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容器应用管理开发-服务管理-应用（服务）绑定访问入口接口开发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容器应用管理开发-服务管理-纵向扩展-前/后端任务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容器应用管理开发-服务管理-网络安全-后端任务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容器应用管理开发-分区管理-修改分区-后端接口任务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【功能开发】容器应该管理开发-分区管理-修改分区前端任务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【功能开发】容器应用管理开发-存储卷管理-存储卷静态页面开发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容器应用管理开发-应用管理-查看容器列表-后端任务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【功能开发】容器应用管理开发-访问入口管理-查看访问入口列表-前端/后端任务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【功能开发】访问入口-列表前端后端绑定服务前端后端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【功能开发】服务管理-水平扩展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【功能开发】容器应用管理开发-存储卷管理-查看存储卷列表-后端任务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【功能开发】应用管理-弹性伸缩更新服务总数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  <w:tr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【功能开发】应用管理-服务IP获取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【项目入侵】电科云第一轮内部演示</w:t>
            </w:r>
          </w:p>
        </w:tc>
        <w:tc>
          <w:tcPr>
            <w:tcW w:type="dxa" w:w="2160"/>
          </w:tcPr>
          <w:p>
            <w:pPr>
              <w:spacing w:before="40" w:after="40"/>
            </w:pPr>
            <w:r>
              <w:rPr>
                <w:sz w:val="16"/>
              </w:rPr>
              <w:t>完成</w:t>
            </w:r>
          </w:p>
        </w:tc>
      </w:tr>
    </w:tbl>
    <w:p>
      <w:pPr>
        <w:ind w:firstLine="432"/>
        <w:jc w:val="left"/>
      </w:pPr>
      <w:r>
        <w:t/>
      </w:r>
    </w:p>
    <w:p>
      <w:pPr>
        <w:pStyle w:val="Heading1"/>
        <w:jc w:val="left"/>
      </w:pPr>
      <w:r>
        <w:t>个人绩效指标</w:t>
      </w:r>
    </w:p>
    <w:p>
      <w:pPr>
        <w:ind w:firstLine="432"/>
        <w:jc w:val="left"/>
      </w:pPr>
      <w:r>
        <w:t>本阶段执行过程中研发团队个人（共18人）综合情况如下：</w:t>
      </w:r>
    </w:p>
    <w:tbl>
      <w:tblPr>
        <w:tblStyle w:val="MediumList1"/>
        <w:tblW w:type="auto" w:w="0"/>
        <w:jc w:val="center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4320"/>
          </w:tcPr>
          <w:p>
            <w:pPr>
              <w:spacing w:before="40" w:after="40"/>
            </w:pPr>
            <w:r>
              <w:rPr>
                <w:sz w:val="16"/>
              </w:rPr>
              <w:t>人员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完成率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消耗率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贡献率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质量系数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王鼎华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100.00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74.43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6.41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2.81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胡正波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91.11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73.33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6.56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2.29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张远东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100.00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80.62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5.83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1.20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杨志林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100.00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77.50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7.29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1.24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夏维虎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91.79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67.69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7.10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3.10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陈川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60.00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94.29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2.55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2.75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张知弦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88.46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75.96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7.58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1.32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包晓渝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65.00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82.50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2.91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2.06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李成邦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85.34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62.50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8.45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1.77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王一之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100.00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50.00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1.46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5.49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刘镔莹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91.42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75.54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8.49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3.18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张晋伟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100.00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89.80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5.54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1.63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刘伟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85.09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73.29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5.87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2.39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蒲治国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100.00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93.57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6.23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3.69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王强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70.59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100.00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2.48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0.81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王伟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92.78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73.20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7.07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1.56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许朗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100.00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76.56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7.61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0.53</w:t>
            </w:r>
          </w:p>
        </w:tc>
      </w:tr>
      <w:tr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熊骢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100.00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81.25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0.58</w:t>
            </w:r>
          </w:p>
        </w:tc>
        <w:tc>
          <w:tcPr>
            <w:tcW w:type="dxa" w:w="1728"/>
          </w:tcPr>
          <w:p>
            <w:pPr>
              <w:spacing w:before="40" w:after="40"/>
            </w:pPr>
            <w:r>
              <w:rPr>
                <w:sz w:val="16"/>
              </w:rPr>
              <w:t>3.43</w:t>
            </w:r>
          </w:p>
        </w:tc>
      </w:tr>
    </w:tbl>
    <w:p>
      <w:pPr>
        <w:ind w:firstLine="432"/>
        <w:jc w:val="left"/>
      </w:pPr>
      <w:r>
        <w:t>【说明】：1）任务完成率：完成任务量的占比；2）消耗率：已消耗工时的占比；3）贡献率：承接任务量的占比；4）质量系数：返工数/贡献率。</w:t>
      </w:r>
    </w:p>
    <w:p>
      <w:pPr>
        <w:pStyle w:val="Heading1"/>
        <w:jc w:val="left"/>
      </w:pPr>
      <w:r>
        <w:t>非计划类事务情况</w:t>
      </w:r>
    </w:p>
    <w:p>
      <w:pPr>
        <w:ind w:firstLine="432"/>
        <w:jc w:val="left"/>
      </w:pPr>
      <w:r>
        <w:t>本阶段执行过程中插入了以下“外来”的事务：</w:t>
      </w:r>
    </w:p>
    <w:p>
      <w:pPr>
        <w:ind w:firstLine="432"/>
        <w:jc w:val="left"/>
      </w:pPr>
      <w:r>
        <w:t>1）FAST-13171：Jenkins和nexus新环境迁移，预估投入成本20（工时）</w:t>
      </w:r>
    </w:p>
    <w:p>
      <w:pPr>
        <w:ind w:firstLine="432"/>
        <w:jc w:val="left"/>
      </w:pPr>
      <w:r>
        <w:t>2）FAST-13168：201803271655000413430 - 基于龙芯架构实现Fast组件容器化，预估投入成本14（工时）</w:t>
      </w:r>
    </w:p>
    <w:p>
      <w:pPr>
        <w:ind w:firstLine="432"/>
        <w:jc w:val="left"/>
      </w:pPr>
      <w:r>
        <w:t>3）FAST-13055：【201804031642000538903】电科云项目入侵，预估投入成本4（工时）</w:t>
      </w:r>
    </w:p>
    <w:p>
      <w:pPr>
        <w:ind w:firstLine="432"/>
        <w:jc w:val="left"/>
      </w:pPr>
      <w:r>
        <w:t>4）FAST-13040：【201804111444000376905】电科云 - 演示PPT pulsar部分撰写，预估投入成本4（工时）</w:t>
      </w:r>
    </w:p>
    <w:p>
      <w:pPr>
        <w:ind w:firstLine="432"/>
        <w:jc w:val="left"/>
      </w:pPr>
      <w:r>
        <w:t>5）FAST-13039：电科云 - 演示文档与分工，预估投入成本12（工时）</w:t>
      </w:r>
    </w:p>
    <w:p>
      <w:pPr>
        <w:ind w:firstLine="432"/>
        <w:jc w:val="left"/>
      </w:pPr>
      <w:r>
        <w:t>6）FAST-13038：电科云 - 演示mir部分PPT 撰写，预估投入成本4（工时）</w:t>
      </w:r>
    </w:p>
    <w:p>
      <w:pPr>
        <w:ind w:firstLine="432"/>
        <w:jc w:val="left"/>
      </w:pPr>
      <w:r>
        <w:t>7）FAST-13037：电科云 - pulsar页面风格调整，预估投入成本8（工时）</w:t>
      </w:r>
    </w:p>
    <w:p>
      <w:pPr>
        <w:ind w:firstLine="432"/>
        <w:jc w:val="left"/>
      </w:pPr>
      <w:r>
        <w:t>8）FAST-13036：电科云 - mir页面风格调整，预估投入成本8（工时）</w:t>
      </w:r>
    </w:p>
    <w:p>
      <w:pPr>
        <w:ind w:firstLine="432"/>
        <w:jc w:val="left"/>
      </w:pPr>
      <w:r>
        <w:t>9）FAST-13035：电科云 - whitehole页面风格调整，预估投入成本8（工时）</w:t>
      </w:r>
    </w:p>
    <w:p>
      <w:pPr>
        <w:ind w:firstLine="432"/>
        <w:jc w:val="left"/>
      </w:pPr>
      <w:r>
        <w:t>10）FAST-12988：201803271655000413430 - 基于龙芯架构实现tomcat和jdk组件容器化，预估投入成本24（工时）</w:t>
      </w:r>
    </w:p>
    <w:p>
      <w:pPr>
        <w:ind w:firstLine="432"/>
        <w:jc w:val="left"/>
      </w:pPr>
      <w:r>
        <w:t>11）FAST-12953：电科云第二轮演示，预估投入成本8（工时）</w:t>
      </w:r>
    </w:p>
    <w:p>
      <w:pPr>
        <w:ind w:firstLine="432"/>
        <w:jc w:val="left"/>
      </w:pPr>
      <w:r>
        <w:t>12）FAST-12952：电科云 - 密码机服务前端代码，预估投入成本4（工时）</w:t>
      </w:r>
    </w:p>
    <w:p>
      <w:pPr>
        <w:ind w:firstLine="432"/>
        <w:jc w:val="left"/>
      </w:pPr>
      <w:r>
        <w:t>计划外事务的总投入（估算） 118 个工时。</w:t>
      </w:r>
    </w:p>
    <w:p>
      <w:r>
        <w:br w:type="page"/>
      </w:r>
    </w:p>
    <w:p>
      <w:pPr>
        <w:pStyle w:val="Heading1"/>
        <w:jc w:val="left"/>
      </w:pPr>
      <w:r>
        <w:t>过程情况</w:t>
      </w:r>
    </w:p>
    <w:p>
      <w:pPr>
        <w:ind w:firstLine="432"/>
        <w:jc w:val="left"/>
      </w:pPr>
      <w:r>
        <w:t>1）单元测试情况：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669280" cy="680313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2646-compscor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68031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>【图例说明】：数据采自Jenkins系统，以展示项目中每个模块的单元测试情况。</w:t>
      </w:r>
    </w:p>
    <w:p>
      <w:r>
        <w:br w:type="page"/>
      </w:r>
    </w:p>
    <w:p>
      <w:pPr>
        <w:ind w:firstLine="432"/>
        <w:jc w:val="left"/>
      </w:pPr>
      <w:r>
        <w:t>按出错率排序（前十名）：</w:t>
      </w:r>
    </w:p>
    <w:tbl>
      <w:tblPr>
        <w:tblStyle w:val="MediumList1"/>
        <w:tblW w:type="auto" w:w="0"/>
        <w:jc w:val="center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7200"/>
          </w:tcPr>
          <w:p>
            <w:pPr>
              <w:spacing w:before="40" w:after="40"/>
            </w:pPr>
            <w:r>
              <w:rPr>
                <w:sz w:val="16"/>
              </w:rPr>
              <w:t>模块名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测试次数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出错率%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one-logging-api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129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96.90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fast-all-in-one-for-dev-environment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254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91.34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fast-dev-218-poc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64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82.81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test-pipline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124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82.26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fast-kubernetes-deployment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124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75.81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fast-test-cd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36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75.00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one-logging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39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74.36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fast-all-in-one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38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63.16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milestone-one-registry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48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50.00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milestone-mir-k8s-api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47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48.94</w:t>
            </w:r>
          </w:p>
        </w:tc>
      </w:tr>
    </w:tbl>
    <w:p>
      <w:pPr>
        <w:ind w:firstLine="432"/>
        <w:jc w:val="left"/>
      </w:pPr>
      <w:r>
        <w:t>按测试次数排序（前十名）：</w:t>
      </w:r>
    </w:p>
    <w:tbl>
      <w:tblPr>
        <w:tblStyle w:val="MediumList1"/>
        <w:tblW w:type="auto" w:w="0"/>
        <w:jc w:val="center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7200"/>
          </w:tcPr>
          <w:p>
            <w:pPr>
              <w:spacing w:before="40" w:after="40"/>
            </w:pPr>
            <w:r>
              <w:rPr>
                <w:sz w:val="16"/>
              </w:rPr>
              <w:t>模块名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测试次数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出错率%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mir-application-api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261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13.79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fast-all-in-one-for-dev-environment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254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91.34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mir-ui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237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19.83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mir-k8s-api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215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19.53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one-config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200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18.50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mir-blueprint-api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183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21.86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fast-mysql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180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28.89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mir-admin-ui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174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24.14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mir-namespace-api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156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25.00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mir-storage-api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152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25.00</w:t>
            </w:r>
          </w:p>
        </w:tc>
      </w:tr>
    </w:tbl>
    <w:p>
      <w:pPr>
        <w:ind w:firstLine="432"/>
        <w:jc w:val="left"/>
      </w:pPr>
      <w:r>
        <w:t>按稳定性排序（前十名）：</w:t>
      </w:r>
    </w:p>
    <w:tbl>
      <w:tblPr>
        <w:tblStyle w:val="MediumList1"/>
        <w:tblW w:type="auto" w:w="0"/>
        <w:jc w:val="center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7200"/>
          </w:tcPr>
          <w:p>
            <w:pPr>
              <w:spacing w:before="40" w:after="40"/>
            </w:pPr>
            <w:r>
              <w:rPr>
                <w:sz w:val="16"/>
              </w:rPr>
              <w:t>模块名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测试次数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出错率%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mir-application-api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261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13.79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mir-ui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237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19.83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mir-k8s-api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215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19.53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one-config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200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18.50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mir-blueprint-api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183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21.86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mir-admin-ui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174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24.14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fast-mysql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180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28.89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mir-image-api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146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17.12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one-route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146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17.81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mir-namespace-api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156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25.00</w:t>
            </w:r>
          </w:p>
        </w:tc>
      </w:tr>
    </w:tbl>
    <w:p>
      <w:r>
        <w:br w:type="page"/>
      </w:r>
    </w:p>
    <w:p>
      <w:pPr>
        <w:ind w:firstLine="432"/>
        <w:jc w:val="left"/>
      </w:pPr>
      <w:r>
        <w:t>2）单元测试覆盖率：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03520" cy="4242816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2652-cover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242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>【图例说明】：数据采自Jenkins系统，以展示项目中每个模块的单元测试覆盖率。</w:t>
      </w:r>
    </w:p>
    <w:p>
      <w:pPr>
        <w:pStyle w:val="Heading1"/>
        <w:jc w:val="left"/>
      </w:pPr>
      <w:r>
        <w:t>计划跟踪</w:t>
      </w:r>
    </w:p>
    <w:p>
      <w:pPr>
        <w:pStyle w:val="Heading2"/>
        <w:jc w:val="left"/>
      </w:pPr>
      <w:r>
        <w:t>一、活动分布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669280" cy="680313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1904161000-issue-acti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68031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>【图例说明】：基于“时标”展示工作“活动”分布情况，如某任务状态迁移、时间更新等等。</w:t>
      </w:r>
    </w:p>
    <w:p>
      <w:pPr>
        <w:ind w:firstLine="432"/>
        <w:jc w:val="left"/>
      </w:pPr>
      <w:r>
        <w:t/>
      </w:r>
    </w:p>
    <w:p>
      <w:pPr>
        <w:pStyle w:val="Heading3"/>
        <w:jc w:val="left"/>
      </w:pPr>
      <w:r>
        <w:t>活动分布分解</w:t>
      </w:r>
    </w:p>
    <w:p>
      <w:pPr>
        <w:pStyle w:val="Heading4"/>
        <w:jc w:val="left"/>
      </w:pPr>
      <w:r>
        <w:t>王坤的活动分布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2045243000-issue-acti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/>
      </w:r>
    </w:p>
    <w:p>
      <w:pPr>
        <w:pStyle w:val="Heading4"/>
        <w:jc w:val="left"/>
      </w:pPr>
      <w:r>
        <w:t>杨志林的活动分布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2131703000-issue-actio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/>
      </w:r>
    </w:p>
    <w:p>
      <w:pPr>
        <w:pStyle w:val="Heading4"/>
        <w:jc w:val="left"/>
      </w:pPr>
      <w:r>
        <w:t>张远东的活动分布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2308645000-issue-actio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/>
      </w:r>
    </w:p>
    <w:p>
      <w:pPr>
        <w:pStyle w:val="Heading4"/>
        <w:jc w:val="left"/>
      </w:pPr>
      <w:r>
        <w:t>蒲治国的活动分布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2220146000-issue-ac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/>
      </w:r>
    </w:p>
    <w:p>
      <w:pPr>
        <w:pStyle w:val="Heading4"/>
        <w:jc w:val="left"/>
      </w:pPr>
      <w:r>
        <w:t>许朗的活动分布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2159313000-issue-acti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/>
      </w:r>
    </w:p>
    <w:p>
      <w:pPr>
        <w:pStyle w:val="Heading4"/>
        <w:jc w:val="left"/>
      </w:pPr>
      <w:r>
        <w:t>熊骢的活动分布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2210777000-issue-act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/>
      </w:r>
    </w:p>
    <w:p>
      <w:pPr>
        <w:pStyle w:val="Heading4"/>
        <w:jc w:val="left"/>
      </w:pPr>
      <w:r>
        <w:t>夏维虎的活动分布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2347590000-issue-actio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/>
      </w:r>
    </w:p>
    <w:p>
      <w:pPr>
        <w:pStyle w:val="Heading4"/>
        <w:jc w:val="left"/>
      </w:pPr>
      <w:r>
        <w:t>李成邦的活动分布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2329224000-issue-actio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/>
      </w:r>
    </w:p>
    <w:p>
      <w:pPr>
        <w:pStyle w:val="Heading4"/>
        <w:jc w:val="left"/>
      </w:pPr>
      <w:r>
        <w:t>刘伟的活动分布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2141572000-issue-actio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/>
      </w:r>
    </w:p>
    <w:p>
      <w:pPr>
        <w:pStyle w:val="Heading4"/>
        <w:jc w:val="left"/>
      </w:pPr>
      <w:r>
        <w:t>张晋伟的活动分布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743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2231132000-issue-actio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/>
      </w:r>
    </w:p>
    <w:p>
      <w:pPr>
        <w:pStyle w:val="Heading4"/>
        <w:jc w:val="left"/>
      </w:pPr>
      <w:r>
        <w:t>张知弦的活动分布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743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2319670000-issue-actio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/>
      </w:r>
    </w:p>
    <w:p>
      <w:pPr>
        <w:pStyle w:val="Heading4"/>
        <w:jc w:val="left"/>
      </w:pPr>
      <w:r>
        <w:t>刘镔莹的活动分布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2241297000-issue-actio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/>
      </w:r>
    </w:p>
    <w:p>
      <w:pPr>
        <w:pStyle w:val="Heading4"/>
        <w:jc w:val="left"/>
      </w:pPr>
      <w:r>
        <w:t>王伟的活动分布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743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2250471000-issue-actio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/>
      </w:r>
    </w:p>
    <w:p>
      <w:r>
        <w:br w:type="page"/>
      </w:r>
    </w:p>
    <w:p>
      <w:pPr>
        <w:pStyle w:val="Heading2"/>
        <w:jc w:val="left"/>
      </w:pPr>
      <w:r>
        <w:t>二、任务执行状态</w:t>
      </w:r>
    </w:p>
    <w:p>
      <w:pPr>
        <w:ind w:firstLine="432"/>
        <w:jc w:val="left"/>
      </w:pPr>
      <w:r>
        <w:t>通过下图可直观了解在本里程碑内所有任务的当前执行情况。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351314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2610-issue-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>【图例说明】：展示任务执行的状态分布情况。图中，圆点大小与任务被测试次数关联，圆点越小则间接表示bug数也越少。</w:t>
      </w:r>
    </w:p>
    <w:p>
      <w:pPr>
        <w:ind w:firstLine="432"/>
        <w:jc w:val="left"/>
      </w:pPr>
      <w:r>
        <w:t>出错率较高的任务有：</w:t>
      </w:r>
    </w:p>
    <w:tbl>
      <w:tblPr>
        <w:tblStyle w:val="MediumList1"/>
        <w:tblW w:type="auto" w:w="0"/>
        <w:jc w:val="center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Issue</w:t>
            </w:r>
          </w:p>
        </w:tc>
        <w:tc>
          <w:tcPr>
            <w:tcW w:type="dxa" w:w="7200"/>
          </w:tcPr>
          <w:p>
            <w:pPr>
              <w:spacing w:before="40" w:after="40"/>
            </w:pPr>
            <w:r>
              <w:rPr>
                <w:sz w:val="16"/>
              </w:rPr>
              <w:t>任务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返工次数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FAST-3663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【功能开发】告警策略 - 修改告警策略-前端任务开发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4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FAST-12962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【功能开发】告警历史-管理员-后端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3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FAST-13139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【技术改造】工单模块权限初始化数据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FAST-12902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【项目管理】Sprint 7 项目管理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FAST-12659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【功能开发】个人中心 - 个人设置 - 前端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FAST-11238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【功能开发】个性化配置 - 自定义菜单-前端任务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FAST-12999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【项目会议】Fast-Sprint 8迭代会议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FAST-3748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【功能开发】个人中心-消息接收设置-后端任务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</w:t>
            </w:r>
          </w:p>
        </w:tc>
      </w:tr>
      <w:tr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FAST-12984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【项目运维】Sprint 7 项目运维</w:t>
            </w:r>
          </w:p>
        </w:tc>
        <w:tc>
          <w:tcPr>
            <w:tcW w:type="dxa" w:w="2880"/>
          </w:tcPr>
          <w:p>
            <w:pPr>
              <w:spacing w:before="40" w:after="40"/>
            </w:pPr>
            <w:r>
              <w:rPr>
                <w:sz w:val="16"/>
              </w:rPr>
              <w:t>2</w:t>
            </w:r>
          </w:p>
        </w:tc>
      </w:tr>
    </w:tbl>
    <w:p>
      <w:r>
        <w:br w:type="page"/>
      </w:r>
    </w:p>
    <w:p>
      <w:pPr>
        <w:pStyle w:val="Heading2"/>
        <w:jc w:val="left"/>
      </w:pPr>
      <w:r>
        <w:t>三、目标执行情况</w:t>
      </w:r>
    </w:p>
    <w:p>
      <w:pPr>
        <w:ind w:firstLine="432"/>
        <w:jc w:val="left"/>
      </w:pPr>
      <w:r>
        <w:t>通过下图可直观了解在本里程碑内所有目标（功能点）的当前执行情况。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351314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2615-issue-statu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>【图例说明】：展示里程碑目标的状态分布情况。</w:t>
      </w:r>
    </w:p>
    <w:p>
      <w:pPr>
        <w:pStyle w:val="Heading2"/>
        <w:jc w:val="left"/>
      </w:pPr>
      <w:r>
        <w:t>四、成本执行</w:t>
      </w:r>
    </w:p>
    <w:p>
      <w:pPr>
        <w:ind w:firstLine="432"/>
        <w:jc w:val="left"/>
      </w:pPr>
      <w:r>
        <w:t>● 计划预算总数：3412 【工时】</w:t>
      </w:r>
    </w:p>
    <w:p>
      <w:pPr>
        <w:ind w:firstLine="432"/>
        <w:jc w:val="left"/>
      </w:pPr>
      <w:r>
        <w:t>● 估计执行成本总数：2423 【工时】</w:t>
      </w:r>
    </w:p>
    <w:p>
      <w:pPr>
        <w:ind w:firstLine="432"/>
        <w:jc w:val="left"/>
      </w:pPr>
      <w:r>
        <w:t>● 已执行成本总数：1795 【工时】</w:t>
      </w:r>
    </w:p>
    <w:p>
      <w:pPr>
        <w:ind w:firstLine="432"/>
        <w:jc w:val="left"/>
      </w:pPr>
      <w:r>
        <w:t>通过下图可直观了解在本里程碑内所有目标（功能点）的预算执行情况。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351314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2618-issue-statu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>【图例说明】：展示里程碑目标的预算执行情况。</w:t>
      </w:r>
    </w:p>
    <w:p>
      <w:pPr>
        <w:pStyle w:val="Heading2"/>
        <w:jc w:val="left"/>
      </w:pPr>
      <w:r>
        <w:t>五、任务执行情况</w:t>
      </w:r>
    </w:p>
    <w:p>
      <w:pPr>
        <w:ind w:firstLine="432"/>
        <w:jc w:val="left"/>
      </w:pPr>
      <w:r>
        <w:t>本里程碑的任务燃尽情况如下：</w:t>
      </w:r>
    </w:p>
    <w:p>
      <w:pPr>
        <w:ind w:firstLine="432"/>
        <w:jc w:val="left"/>
      </w:pPr>
      <w:r>
        <w:t>● 任务总数：205</w:t>
      </w:r>
    </w:p>
    <w:p>
      <w:pPr>
        <w:ind w:firstLine="432"/>
        <w:jc w:val="left"/>
      </w:pPr>
      <w:r>
        <w:t>● 已完成的任务总数：184</w:t>
      </w:r>
    </w:p>
    <w:p>
      <w:pPr>
        <w:ind w:firstLine="432"/>
        <w:jc w:val="left"/>
      </w:pPr>
      <w:r>
        <w:t>● 在测的任务总数：1</w:t>
      </w:r>
    </w:p>
    <w:p>
      <w:pPr>
        <w:ind w:firstLine="432"/>
        <w:jc w:val="left"/>
      </w:pPr>
      <w:r>
        <w:t>● 待测的任务总数：8</w:t>
      </w:r>
    </w:p>
    <w:p>
      <w:pPr>
        <w:ind w:firstLine="432"/>
        <w:jc w:val="left"/>
      </w:pPr>
      <w:r>
        <w:t>● 处理中的任务总数：7</w:t>
      </w:r>
    </w:p>
    <w:p>
      <w:pPr>
        <w:ind w:firstLine="432"/>
        <w:jc w:val="left"/>
      </w:pPr>
      <w:r>
        <w:t>● 待办的任务总数：5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743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1848-issue-burndown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>【图例说明】：图中的红线为“理想”的任务燃尽趋势。</w:t>
      </w:r>
    </w:p>
    <w:p>
      <w:pPr>
        <w:ind w:firstLine="432"/>
        <w:jc w:val="left"/>
      </w:pPr>
      <w:r>
        <w:t>本阶段计划工时的燃尽情况：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7432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0508181848-time-issue-burndown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32"/>
        <w:jc w:val="left"/>
      </w:pPr>
      <w:r>
        <w:t>【图例说明】：图中的红线为“理想”的计划工时燃尽趋势。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spacing w:before="200" w:after="200"/>
    </w:pPr>
    <w:rPr>
      <w:rFonts w:ascii="微软黑体" w:hAnsi="微软黑体" w:eastAsia="微软黑体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 w:ascii="微软黑体" w:hAnsi="微软黑体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 w:ascii="微软黑体" w:hAnsi="微软黑体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 w:ascii="微软黑体" w:hAnsi="微软黑体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 w:ascii="微软黑体" w:hAnsi="微软黑体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