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产品HUBBLE项目计划跟踪报告</w:t>
      </w:r>
    </w:p>
    <w:p>
      <w:pPr>
        <w:ind w:firstLine="432"/>
        <w:jc w:val="center"/>
      </w:pPr>
      <w:r>
        <w:t>&gt;&gt;&gt; 报告生成日期【Tue May 08 18:41:05 2018】 &lt;&lt;&lt;</w:t>
      </w:r>
    </w:p>
    <w:p>
      <w:pPr>
        <w:pStyle w:val="Heading1"/>
        <w:jc w:val="left"/>
      </w:pPr>
      <w:r>
        <w:t>项目基本信息</w:t>
      </w:r>
    </w:p>
    <w:p>
      <w:pPr>
        <w:ind w:firstLine="432"/>
        <w:jc w:val="left"/>
      </w:pPr>
      <w:r>
        <w:t>项目名称：电科华云大数据服务平台HubbleV2.0</w:t>
      </w:r>
    </w:p>
    <w:p>
      <w:pPr>
        <w:ind w:firstLine="432"/>
        <w:jc w:val="left"/>
      </w:pPr>
      <w:r>
        <w:t>项目编号：PRD-2018-PROJ-00001</w:t>
      </w:r>
    </w:p>
    <w:p>
      <w:pPr>
        <w:ind w:firstLine="432"/>
        <w:jc w:val="left"/>
      </w:pPr>
      <w:r>
        <w:t>项目负责人：饶定远</w:t>
      </w:r>
    </w:p>
    <w:p>
      <w:pPr>
        <w:ind w:firstLine="432"/>
        <w:jc w:val="left"/>
      </w:pPr>
      <w:r>
        <w:t>项目起止日期：2018年3月19日 至 2018年7月17日</w:t>
      </w:r>
    </w:p>
    <w:p>
      <w:pPr>
        <w:ind w:firstLine="432"/>
        <w:jc w:val="left"/>
      </w:pPr>
      <w:r>
        <w:t>项目预算（工时成本）：211.2 万元</w:t>
      </w:r>
    </w:p>
    <w:p>
      <w:pPr>
        <w:ind w:firstLine="432"/>
        <w:jc w:val="left"/>
      </w:pPr>
      <w:r>
        <w:t>项目功能简介：1.数据连接管理，2.结构化数据汇聚，3.数据清洗转换，4.非结构化数据汇聚，5.仪表盘，6.作业监控，7.系统健康监控，8.数据源管理，9.数据查看，10.结构变更历史查看，11.标签管理，12.业务字典，13.数据资源集合，14.数据地图</w:t>
      </w:r>
    </w:p>
    <w:p>
      <w:pPr>
        <w:ind w:firstLine="432"/>
        <w:jc w:val="left"/>
      </w:pPr>
      <w:r>
        <w:t>里程碑：V2.0 里程碑#5_18，从 2018-03-26 到 2018-05-18</w:t>
      </w:r>
    </w:p>
    <w:p>
      <w:pPr>
        <w:ind w:firstLine="432"/>
        <w:jc w:val="left"/>
      </w:pPr>
      <w:r>
        <w:t>当前阶段：20180507 - 20180518，从 2018-05-07 至 2018-05-21</w:t>
      </w:r>
    </w:p>
    <w:p>
      <w:pPr>
        <w:pStyle w:val="Heading1"/>
        <w:jc w:val="left"/>
      </w:pPr>
      <w:r>
        <w:t>情况总览</w:t>
      </w:r>
    </w:p>
    <w:p>
      <w:pPr>
        <w:ind w:firstLine="432"/>
        <w:jc w:val="left"/>
      </w:pPr>
      <w:r>
        <w:t>项目共有 9 个EPIC被分解到 100 个功能点的 258 个任务上。</w:t>
      </w:r>
    </w:p>
    <w:p>
      <w:pPr>
        <w:ind w:firstLine="432"/>
        <w:jc w:val="left"/>
      </w:pPr>
      <w:r>
        <w:t>目前已完成 56 个功能点（完成率56.00%）和 205 个任务（完成率79.46%）。</w:t>
      </w:r>
    </w:p>
    <w:p>
      <w:pPr>
        <w:pStyle w:val="Heading1"/>
        <w:jc w:val="left"/>
      </w:pPr>
      <w:r>
        <w:t>本里程碑的基本情况</w:t>
      </w:r>
    </w:p>
    <w:p>
      <w:pPr>
        <w:ind w:firstLine="432"/>
        <w:jc w:val="left"/>
      </w:pPr>
      <w:r>
        <w:t>本阶段共有 41 个功能点，已完成 25 个，完成率 60.00%，明细如下：</w:t>
      </w:r>
    </w:p>
    <w:tbl>
      <w:tblPr>
        <w:tblStyle w:val="MediumList1"/>
        <w:tblW w:type="auto" w:w="0"/>
        <w:jc w:val="center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10080"/>
          </w:tcPr>
          <w:p>
            <w:pPr>
              <w:spacing w:before="40" w:after="40"/>
            </w:pPr>
            <w:r>
              <w:rPr>
                <w:sz w:val="16"/>
              </w:rPr>
              <w:t>功能名称</w:t>
            </w:r>
          </w:p>
        </w:tc>
        <w:tc>
          <w:tcPr>
            <w:tcW w:type="dxa" w:w="1440"/>
          </w:tcPr>
          <w:p>
            <w:pPr>
              <w:spacing w:before="40" w:after="40"/>
            </w:pPr>
            <w:r>
              <w:rPr>
                <w:sz w:val="16"/>
              </w:rPr>
              <w:t>状态</w:t>
            </w:r>
          </w:p>
        </w:tc>
        <w:tc>
          <w:tcPr>
            <w:tcW w:type="dxa" w:w="10080"/>
          </w:tcPr>
          <w:p>
            <w:pPr>
              <w:spacing w:before="40" w:after="40"/>
            </w:pPr>
            <w:r>
              <w:rPr>
                <w:sz w:val="16"/>
              </w:rPr>
              <w:t>功能名称</w:t>
            </w:r>
          </w:p>
        </w:tc>
        <w:tc>
          <w:tcPr>
            <w:tcW w:type="dxa" w:w="1440"/>
          </w:tcPr>
          <w:p>
            <w:pPr>
              <w:spacing w:before="40" w:after="40"/>
            </w:pPr>
            <w:r>
              <w:rPr>
                <w:sz w:val="16"/>
              </w:rPr>
              <w:t>状态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Hubble V2.0 第二轮转测支持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待办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spark 增加通过jdbc访问oracle、mysql和gp数据检查支持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待办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重复数据检测插件包的开发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处理中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Hubble V2.0项目转测支持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集成环境验证及bug修复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测试case的review工作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数据质量规则管理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自动化部署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成都公安项目使用数据质量进行二次开发知识转移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处理中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删除数据质量规则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编辑数据质量规则详情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查看数据质量规则详情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查看数据质量规则列表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创建数据质量检测规则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删除数据质量报告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编辑数据质量报告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查看数据质量报告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查看数据质量报告列表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创建数据质量报告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删除数据质量任务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停止数据质量任务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编辑数据质量检测任务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启动数据质量任务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查看数据质量检测任务详情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查看数据质量检测任务列表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新增数据质量检测任务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嘉兴项目Hubble环境升级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待办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通过数据服务实例查询数据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待办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查询数据API日志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待办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同步数据服务实例状态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待办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删除数据服务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待办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回收数据服务实例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待办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添加数据服务实例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待办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添加数据服务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待办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数据源管理设计优化方案讨论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jenkins上CI/CD单元测试搭建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处理中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创建任务时，可以按标签查看及选择列表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数据源管理优化修改story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处理中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调研大数据平台组件接入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待办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正则表达式校验规则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</w:tbl>
    <w:p>
      <w:pPr>
        <w:ind w:firstLine="432"/>
        <w:jc w:val="left"/>
      </w:pPr>
      <w:r>
        <w:t/>
      </w:r>
    </w:p>
    <w:p>
      <w:pPr>
        <w:pStyle w:val="Heading1"/>
        <w:jc w:val="left"/>
      </w:pPr>
      <w:r>
        <w:t>个人绩效指标</w:t>
      </w:r>
    </w:p>
    <w:p>
      <w:pPr>
        <w:ind w:firstLine="432"/>
        <w:jc w:val="left"/>
      </w:pPr>
      <w:r>
        <w:t>本阶段执行过程中研发团队个人（共13人）综合情况如下：</w:t>
      </w:r>
    </w:p>
    <w:tbl>
      <w:tblPr>
        <w:tblStyle w:val="MediumList1"/>
        <w:tblW w:type="auto" w:w="0"/>
        <w:jc w:val="center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4320"/>
          </w:tcPr>
          <w:p>
            <w:pPr>
              <w:spacing w:before="40" w:after="40"/>
            </w:pPr>
            <w:r>
              <w:rPr>
                <w:sz w:val="16"/>
              </w:rPr>
              <w:t>人员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完成率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消耗率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贡献率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质量系数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秦立义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100.00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99.63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9.39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0.53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何坤峰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100.00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87.99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13.18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1.75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官玖伟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88.65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98.94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9.70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2.89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郑镖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100.00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106.90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11.98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1.09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靳翼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74.09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101.21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8.50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3.88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陈燕秋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100.00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114.24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11.60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2.16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杨开睿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100.00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97.02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11.56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2.77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雷东东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100.00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124.00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1.72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0.58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邱实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90.70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88.37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5.92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1.18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李诗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100.00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75.36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4.75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1.90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程瑜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100.00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84.09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4.54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0.00</w:t>
            </w:r>
          </w:p>
        </w:tc>
      </w:tr>
    </w:tbl>
    <w:p>
      <w:pPr>
        <w:ind w:firstLine="432"/>
        <w:jc w:val="left"/>
      </w:pPr>
      <w:r>
        <w:t>【说明】：1）任务完成率：完成任务量的占比；2）消耗率：已消耗工时的占比；3）贡献率：承接任务量的占比；4）质量系数：返工数/贡献率。</w:t>
      </w:r>
    </w:p>
    <w:p>
      <w:pPr>
        <w:pStyle w:val="Heading1"/>
        <w:jc w:val="left"/>
      </w:pPr>
      <w:r>
        <w:t>非计划类事务情况</w:t>
      </w:r>
    </w:p>
    <w:p>
      <w:pPr>
        <w:ind w:firstLine="432"/>
        <w:jc w:val="left"/>
      </w:pPr>
      <w:r>
        <w:t>本阶段执行过程中插入了以下“外来”的事务：</w:t>
      </w:r>
    </w:p>
    <w:p>
      <w:pPr>
        <w:ind w:firstLine="432"/>
        <w:jc w:val="left"/>
      </w:pPr>
      <w:r>
        <w:t>1）HUBBLE-2080：整理kettle调研结论文档，预估投入成本1（工时）</w:t>
      </w:r>
    </w:p>
    <w:p>
      <w:pPr>
        <w:ind w:firstLine="432"/>
        <w:jc w:val="left"/>
      </w:pPr>
      <w:r>
        <w:t>2）HUBBLE-1262：【四川公安警综】项目支持，预估投入成本24（工时）</w:t>
      </w:r>
    </w:p>
    <w:p>
      <w:pPr>
        <w:ind w:firstLine="432"/>
        <w:jc w:val="left"/>
      </w:pPr>
      <w:r>
        <w:t>3）HUBBLE-1219：【三峡博物馆】项目支持，预估投入成本1（工时）</w:t>
      </w:r>
    </w:p>
    <w:p>
      <w:pPr>
        <w:ind w:firstLine="432"/>
        <w:jc w:val="left"/>
      </w:pPr>
      <w:r>
        <w:t>4）HUBBLE-1198：【嘉兴智慧城市】项目支持，预估投入成本2（工时）</w:t>
      </w:r>
    </w:p>
    <w:p>
      <w:pPr>
        <w:ind w:firstLine="432"/>
        <w:jc w:val="left"/>
      </w:pPr>
      <w:r>
        <w:t>5）HUBBLE-1197：【三峡博物馆】项目支持，预估投入成本5（工时）</w:t>
      </w:r>
    </w:p>
    <w:p>
      <w:pPr>
        <w:ind w:firstLine="432"/>
        <w:jc w:val="left"/>
      </w:pPr>
      <w:r>
        <w:t>6）HUBBLE-922：【深圳智慧院】项目支持，预估投入成本8（工时）</w:t>
      </w:r>
    </w:p>
    <w:p>
      <w:pPr>
        <w:ind w:firstLine="432"/>
        <w:jc w:val="left"/>
      </w:pPr>
      <w:r>
        <w:t>7）HUBBLE-779：【深圳智慧院】升级方案讨论，预估投入成本1（工时）</w:t>
      </w:r>
    </w:p>
    <w:p>
      <w:pPr>
        <w:ind w:firstLine="432"/>
        <w:jc w:val="left"/>
      </w:pPr>
      <w:r>
        <w:t>8）HUBBLE-770：【数据血缘】支持项目开发，预估投入成本2（工时）</w:t>
      </w:r>
    </w:p>
    <w:p>
      <w:pPr>
        <w:ind w:firstLine="432"/>
        <w:jc w:val="left"/>
      </w:pPr>
      <w:r>
        <w:t>9）HUBBLE-766：【嘉兴智慧城市】升级方案整理，预估投入成本5（工时）</w:t>
      </w:r>
    </w:p>
    <w:p>
      <w:pPr>
        <w:ind w:firstLine="432"/>
        <w:jc w:val="left"/>
      </w:pPr>
      <w:r>
        <w:t>10）HUBBLE-671：处理警综hubble环境恢复，预估投入成本2（工时）</w:t>
      </w:r>
    </w:p>
    <w:p>
      <w:pPr>
        <w:ind w:firstLine="432"/>
        <w:jc w:val="left"/>
      </w:pPr>
      <w:r>
        <w:t>11）HUBBLE-543：深圳智慧院Hubble+CDH环境恢复，预估投入成本4（工时）</w:t>
      </w:r>
    </w:p>
    <w:p>
      <w:pPr>
        <w:ind w:firstLine="432"/>
        <w:jc w:val="left"/>
      </w:pPr>
      <w:r>
        <w:t>计划外事务的总投入（估算） 56 个工时。</w:t>
      </w:r>
    </w:p>
    <w:p>
      <w:r>
        <w:br w:type="page"/>
      </w:r>
    </w:p>
    <w:p>
      <w:pPr>
        <w:pStyle w:val="Heading1"/>
        <w:jc w:val="left"/>
      </w:pPr>
      <w:r>
        <w:t>过程情况</w:t>
      </w:r>
    </w:p>
    <w:p>
      <w:pPr>
        <w:ind w:firstLine="432"/>
        <w:jc w:val="left"/>
      </w:pPr>
      <w:r>
        <w:t>1）单元测试情况：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669280" cy="680313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4547-compscor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68031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>【图例说明】：数据采自Jenkins系统，以展示项目中每个模块的单元测试情况。</w:t>
      </w:r>
    </w:p>
    <w:p>
      <w:r>
        <w:br w:type="page"/>
      </w:r>
    </w:p>
    <w:p>
      <w:pPr>
        <w:ind w:firstLine="432"/>
        <w:jc w:val="left"/>
      </w:pPr>
      <w:r>
        <w:t>按出错率排序（前十名）：</w:t>
      </w:r>
    </w:p>
    <w:tbl>
      <w:tblPr>
        <w:tblStyle w:val="MediumList1"/>
        <w:tblW w:type="auto" w:w="0"/>
        <w:jc w:val="center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7200"/>
          </w:tcPr>
          <w:p>
            <w:pPr>
              <w:spacing w:before="40" w:after="40"/>
            </w:pPr>
            <w:r>
              <w:rPr>
                <w:sz w:val="16"/>
              </w:rPr>
              <w:t>模块名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测试次数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出错率%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metagrid-api-1.5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6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83.33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one-log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8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50.00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one-upms-api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8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25.00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dataquality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6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16.67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orcadmin-2.0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6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0.00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one-log-ui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6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0.00</w:t>
            </w:r>
          </w:p>
        </w:tc>
      </w:tr>
    </w:tbl>
    <w:p>
      <w:pPr>
        <w:ind w:firstLine="432"/>
        <w:jc w:val="left"/>
      </w:pPr>
      <w:r>
        <w:t>按测试次数排序（前十名）：</w:t>
      </w:r>
    </w:p>
    <w:tbl>
      <w:tblPr>
        <w:tblStyle w:val="MediumList1"/>
        <w:tblW w:type="auto" w:w="0"/>
        <w:jc w:val="center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7200"/>
          </w:tcPr>
          <w:p>
            <w:pPr>
              <w:spacing w:before="40" w:after="40"/>
            </w:pPr>
            <w:r>
              <w:rPr>
                <w:sz w:val="16"/>
              </w:rPr>
              <w:t>模块名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测试次数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出错率%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one-upms-api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8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25.00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one-log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8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50.00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metagrid-api-1.5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6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83.33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orcadmin-2.0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6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0.00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one-log-ui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6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0.00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dataquality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6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16.67</w:t>
            </w:r>
          </w:p>
        </w:tc>
      </w:tr>
    </w:tbl>
    <w:p>
      <w:pPr>
        <w:ind w:firstLine="432"/>
        <w:jc w:val="left"/>
      </w:pPr>
      <w:r>
        <w:t>按稳定性排序（前十名）：</w:t>
      </w:r>
    </w:p>
    <w:tbl>
      <w:tblPr>
        <w:tblStyle w:val="MediumList1"/>
        <w:tblW w:type="auto" w:w="0"/>
        <w:jc w:val="center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7200"/>
          </w:tcPr>
          <w:p>
            <w:pPr>
              <w:spacing w:before="40" w:after="40"/>
            </w:pPr>
            <w:r>
              <w:rPr>
                <w:sz w:val="16"/>
              </w:rPr>
              <w:t>模块名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测试次数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出错率%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orcadmin-2.0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6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0.00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one-log-ui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6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0.00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one-upms-api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8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25.00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dataquality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6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16.67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one-log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8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50.00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metagrid-api-1.5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6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83.33</w:t>
            </w:r>
          </w:p>
        </w:tc>
      </w:tr>
    </w:tbl>
    <w:p>
      <w:r>
        <w:br w:type="page"/>
      </w:r>
    </w:p>
    <w:p>
      <w:pPr>
        <w:ind w:firstLine="432"/>
        <w:jc w:val="left"/>
      </w:pPr>
      <w:r>
        <w:t>2）单元测试覆盖率：</w:t>
      </w:r>
    </w:p>
    <w:p>
      <w:pPr>
        <w:ind w:firstLine="432"/>
        <w:jc w:val="left"/>
      </w:pPr>
      <w:r>
        <w:t>无。</w:t>
      </w:r>
    </w:p>
    <w:p>
      <w:pPr>
        <w:pStyle w:val="Heading1"/>
        <w:jc w:val="left"/>
      </w:pPr>
      <w:r>
        <w:t>计划跟踪</w:t>
      </w:r>
    </w:p>
    <w:p>
      <w:pPr>
        <w:pStyle w:val="Heading2"/>
        <w:jc w:val="left"/>
      </w:pPr>
      <w:r>
        <w:t>一、活动分布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669280" cy="6803136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4147408000-issue-actio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68031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>【图例说明】：基于“时标”展示工作“活动”分布情况，如某任务状态迁移、时间更新等等。</w:t>
      </w:r>
    </w:p>
    <w:p>
      <w:pPr>
        <w:ind w:firstLine="432"/>
        <w:jc w:val="left"/>
      </w:pPr>
      <w:r>
        <w:t/>
      </w:r>
    </w:p>
    <w:p>
      <w:pPr>
        <w:pStyle w:val="Heading3"/>
        <w:jc w:val="left"/>
      </w:pPr>
      <w:r>
        <w:t>活动分布分解</w:t>
      </w:r>
    </w:p>
    <w:p>
      <w:pPr>
        <w:pStyle w:val="Heading4"/>
        <w:jc w:val="left"/>
      </w:pPr>
      <w:r>
        <w:t>官玖伟的活动分布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4513639000-issue-acti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/>
      </w:r>
    </w:p>
    <w:p>
      <w:pPr>
        <w:pStyle w:val="Heading4"/>
        <w:jc w:val="left"/>
      </w:pPr>
      <w:r>
        <w:t>陈燕秋的活动分布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4508289000-issue-acti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/>
      </w:r>
    </w:p>
    <w:p>
      <w:pPr>
        <w:pStyle w:val="Heading4"/>
        <w:jc w:val="left"/>
      </w:pPr>
      <w:r>
        <w:t>秦立义的活动分布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4437392000-issue-actio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/>
      </w:r>
    </w:p>
    <w:p>
      <w:pPr>
        <w:pStyle w:val="Heading4"/>
        <w:jc w:val="left"/>
      </w:pPr>
      <w:r>
        <w:t>杨开睿的活动分布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4519087000-issue-actio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/>
      </w:r>
    </w:p>
    <w:p>
      <w:pPr>
        <w:pStyle w:val="Heading4"/>
        <w:jc w:val="left"/>
      </w:pPr>
      <w:r>
        <w:t>靳翼的活动分布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4458438000-issue-ac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/>
      </w:r>
    </w:p>
    <w:p>
      <w:r>
        <w:br w:type="page"/>
      </w:r>
    </w:p>
    <w:p>
      <w:pPr>
        <w:pStyle w:val="Heading2"/>
        <w:jc w:val="left"/>
      </w:pPr>
      <w:r>
        <w:t>二、任务执行状态</w:t>
      </w:r>
    </w:p>
    <w:p>
      <w:pPr>
        <w:ind w:firstLine="432"/>
        <w:jc w:val="left"/>
      </w:pPr>
      <w:r>
        <w:t>通过下图可直观了解在本里程碑内所有任务的当前执行情况。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35131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4532-issue-statu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>【图例说明】：展示任务执行的状态分布情况。图中，圆点大小与任务被测试次数关联，圆点越小则间接表示bug数也越少。</w:t>
      </w:r>
    </w:p>
    <w:p>
      <w:pPr>
        <w:ind w:firstLine="432"/>
        <w:jc w:val="left"/>
      </w:pPr>
      <w:r>
        <w:t>出错率较高的任务有：</w:t>
      </w:r>
    </w:p>
    <w:tbl>
      <w:tblPr>
        <w:tblStyle w:val="MediumList1"/>
        <w:tblW w:type="auto" w:w="0"/>
        <w:jc w:val="center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Issue</w:t>
            </w:r>
          </w:p>
        </w:tc>
        <w:tc>
          <w:tcPr>
            <w:tcW w:type="dxa" w:w="7200"/>
          </w:tcPr>
          <w:p>
            <w:pPr>
              <w:spacing w:before="40" w:after="40"/>
            </w:pPr>
            <w:r>
              <w:rPr>
                <w:sz w:val="16"/>
              </w:rPr>
              <w:t>任务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返工次数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HUBBLE-711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【正则表达式】插件包调试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3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HUBBLE-916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metagrid-api CD环境搭建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HUBBLE-900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one-log 模块容器化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HUBBLE-917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backend-service CD环境搭建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HUBBLE-913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datasync 模块容器化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HUBBLE-912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 xml:space="preserve"> dsmanager CD环境搭建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HUBBLE-911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dsmanager 模块容器化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</w:t>
            </w:r>
          </w:p>
        </w:tc>
      </w:tr>
    </w:tbl>
    <w:p>
      <w:r>
        <w:br w:type="page"/>
      </w:r>
    </w:p>
    <w:p>
      <w:pPr>
        <w:pStyle w:val="Heading2"/>
        <w:jc w:val="left"/>
      </w:pPr>
      <w:r>
        <w:t>三、目标执行情况</w:t>
      </w:r>
    </w:p>
    <w:p>
      <w:pPr>
        <w:ind w:firstLine="432"/>
        <w:jc w:val="left"/>
      </w:pPr>
      <w:r>
        <w:t>通过下图可直观了解在本里程碑内所有目标（功能点）的当前执行情况。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35131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4535-issue-statu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>【图例说明】：展示里程碑目标的状态分布情况。</w:t>
      </w:r>
    </w:p>
    <w:p>
      <w:pPr>
        <w:pStyle w:val="Heading2"/>
        <w:jc w:val="left"/>
      </w:pPr>
      <w:r>
        <w:t>四、成本执行</w:t>
      </w:r>
    </w:p>
    <w:p>
      <w:pPr>
        <w:ind w:firstLine="432"/>
        <w:jc w:val="left"/>
      </w:pPr>
      <w:r>
        <w:t>● 计划预算总数：408 【工时】</w:t>
      </w:r>
    </w:p>
    <w:p>
      <w:pPr>
        <w:ind w:firstLine="432"/>
        <w:jc w:val="left"/>
      </w:pPr>
      <w:r>
        <w:t>● 估计执行成本总数：768 【工时】</w:t>
      </w:r>
    </w:p>
    <w:p>
      <w:pPr>
        <w:ind w:firstLine="432"/>
        <w:jc w:val="left"/>
      </w:pPr>
      <w:r>
        <w:t>● 已执行成本总数：578 【工时】</w:t>
      </w:r>
    </w:p>
    <w:p>
      <w:pPr>
        <w:ind w:firstLine="432"/>
        <w:jc w:val="left"/>
      </w:pPr>
      <w:r>
        <w:t>通过下图可直观了解在本里程碑内所有目标（功能点）的预算执行情况。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351314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4536-issue-statu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>【图例说明】：展示里程碑目标的预算执行情况。</w:t>
      </w:r>
    </w:p>
    <w:p>
      <w:pPr>
        <w:pStyle w:val="Heading2"/>
        <w:jc w:val="left"/>
      </w:pPr>
      <w:r>
        <w:t>五、任务执行情况</w:t>
      </w:r>
    </w:p>
    <w:p>
      <w:pPr>
        <w:ind w:firstLine="432"/>
        <w:jc w:val="left"/>
      </w:pPr>
      <w:r>
        <w:t>本里程碑的任务燃尽情况如下：</w:t>
      </w:r>
    </w:p>
    <w:p>
      <w:pPr>
        <w:ind w:firstLine="432"/>
        <w:jc w:val="left"/>
      </w:pPr>
      <w:r>
        <w:t>● 任务总数：141</w:t>
      </w:r>
    </w:p>
    <w:p>
      <w:pPr>
        <w:ind w:firstLine="432"/>
        <w:jc w:val="left"/>
      </w:pPr>
      <w:r>
        <w:t>● 已完成的任务总数：112</w:t>
      </w:r>
    </w:p>
    <w:p>
      <w:pPr>
        <w:ind w:firstLine="432"/>
        <w:jc w:val="left"/>
      </w:pPr>
      <w:r>
        <w:t>● 在测的任务总数：0</w:t>
      </w:r>
    </w:p>
    <w:p>
      <w:pPr>
        <w:ind w:firstLine="432"/>
        <w:jc w:val="left"/>
      </w:pPr>
      <w:r>
        <w:t>● 待测的任务总数：2</w:t>
      </w:r>
    </w:p>
    <w:p>
      <w:pPr>
        <w:ind w:firstLine="432"/>
        <w:jc w:val="left"/>
      </w:pPr>
      <w:r>
        <w:t>● 处理中的任务总数：3</w:t>
      </w:r>
    </w:p>
    <w:p>
      <w:pPr>
        <w:ind w:firstLine="432"/>
        <w:jc w:val="left"/>
      </w:pPr>
      <w:r>
        <w:t>● 待办的任务总数：24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4104-issue-burndow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>【图例说明】：图中的红线为“理想”的任务燃尽趋势。</w:t>
      </w:r>
    </w:p>
    <w:p>
      <w:pPr>
        <w:ind w:firstLine="432"/>
        <w:jc w:val="left"/>
      </w:pPr>
      <w:r>
        <w:t>本阶段计划工时的燃尽情况：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4105-time-issue-burndow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>【图例说明】：图中的红线为“理想”的计划工时燃尽趋势。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spacing w:before="200" w:after="200"/>
    </w:pPr>
    <w:rPr>
      <w:rFonts w:ascii="微软黑体" w:hAnsi="微软黑体" w:eastAsia="微软黑体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 w:ascii="微软黑体" w:hAnsi="微软黑体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 w:ascii="微软黑体" w:hAnsi="微软黑体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 w:ascii="微软黑体" w:hAnsi="微软黑体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 w:ascii="微软黑体" w:hAnsi="微软黑体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12" Type="http://schemas.openxmlformats.org/officeDocument/2006/relationships/image" Target="media/image4.png"/><Relationship Id="rId10" Type="http://schemas.openxmlformats.org/officeDocument/2006/relationships/image" Target="media/image2.png"/><Relationship Id="rId20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3" Type="http://schemas.openxmlformats.org/officeDocument/2006/relationships/image" Target="media/image5.png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1" Type="http://schemas.openxmlformats.org/officeDocument/2006/relationships/image" Target="media/image3.png"/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