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192" w:line="384"/>
        <w:ind w:left="0" w:right="0"/>
        <w:jc w:val="left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pacing w:val="19"/>
          <w:sz w:val="28"/>
        </w:rPr>
        <w:t>产品需求文档 · 版本基线 V1.1</w:t>
      </w:r>
    </w:p>
    <w:p w14:paraId="00000002">
      <w:pPr>
        <w:spacing w:before="0" w:after="120" w:line="312"/>
        <w:ind w:left="0" w:right="0"/>
        <w:jc w:val="left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44"/>
        </w:rPr>
        <w:t>基金股票记账小程序需求文档</w:t>
      </w:r>
    </w:p>
    <w:p w14:paraId="00000003">
      <w:pPr>
        <w:spacing w:before="0" w:after="600" w:line="384"/>
        <w:ind w:left="0" w:right="0"/>
        <w:jc w:val="left"/>
        <w:rPr>
          <w:color w:val="616161"/>
        </w:rPr>
      </w:pPr>
      <w:r>
        <w:rPr>
          <w:rFonts w:hint="eastAsia" w:ascii="Microsoft YaHei" w:hAnsi="Microsoft YaHei" w:eastAsia="Microsoft YaHei" w:cs="Microsoft YaHei"/>
          <w:color w:val="616161"/>
          <w:sz w:val="22"/>
        </w:rPr>
        <w:t>"仓记" —— 基金与股票交易记账微信小程序</w:t>
      </w:r>
    </w:p>
    <w:p w14:paraId="00000004">
      <w:pPr>
        <w:spacing w:before="0" w:after="0" w:line="384"/>
        <w:ind w:left="0" w:right="0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Microsoft YaHei" w:hAnsi="Microsoft YaHei" w:eastAsia="Microsoft YaHei" w:cs="Microsoft YaHei"/>
          <w:color w:val="616161"/>
          <w:sz w:val="16"/>
        </w:rPr>
        <w:t>文档状态：评审稿 | 版本：V1.1（新增批次管理与指定批次卖出） | 日期：2026 年 10 月 30 日</w:t>
      </w:r>
    </w:p>
    <w:p w14:paraId="00000005">
      <w:pPr>
        <w:spacing w:before="240" w:after="120"/>
      </w:pPr>
      <w:r>
        <w:rPr>
          <w:rFonts w:hint="eastAsia"/>
          <w:b w:val="1"/>
        </w:rPr>
        <w:t>目录</w:t>
      </w:r>
    </w:p>
    <w:p w14:paraId="0000000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引言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编写目的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项目范围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术语定义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目标读者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背景与痛点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产品目标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目标用户画像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需求分析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核心业务场景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用户故事（关键用例）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约束与边界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功能清单总览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核心功能详细需求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页面结构规划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扩展功能规划（V1.1 及以后）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技术方案建议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 里程碑计划（建议）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 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 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E">
      <w:pPr>
        <w:pStyle w:val="000005"/>
        <w:keepNext w:val="1"/>
        <w:keepLines w:val="1"/>
        <w:pBdr>
          <w:left w:val="single" w:color="1565c0" w:sz="24" w:space="7"/>
        </w:pBdr>
        <w:shd w:val="clear" w:fill="f5f7fa"/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22"/>
        </w:rPr>
        <w:t>执行摘要</w:t>
      </w:r>
    </w:p>
    <w:p w14:paraId="0000001F">
      <w:pPr>
        <w:pBdr>
          <w:left w:val="single" w:color="1565c0" w:sz="24"/>
        </w:pBdr>
        <w:shd w:val="clear" w:fill="f5f7fa"/>
        <w:spacing w:before="600" w:after="240" w:line="384"/>
        <w:ind w:left="0" w:right="0"/>
        <w:rPr>
          <w:color w:val="212121"/>
        </w:rPr>
      </w:pPr>
      <w:r>
        <w:rPr>
          <w:rFonts w:ascii="Microsoft YaHei" w:hAnsi="Microsoft YaHei" w:eastAsia="Microsoft YaHei" w:cs="Microsoft YaHei"/>
          <w:i w:val="1"/>
          <w:color w:val="616161"/>
          <w:sz w:val="16"/>
        </w:rPr>
        <w:t>Executive Summary</w:t>
      </w:r>
    </w:p>
    <w:p w14:paraId="00000020">
      <w:pPr>
        <w:pBdr>
          <w:left w:val="single" w:color="1565c0" w:sz="24"/>
        </w:pBdr>
        <w:shd w:val="clear" w:fill="f5f7fa"/>
        <w:spacing w:before="60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本文档定义一款基金与股票交易记账微信小程序（暂定名"仓记"）的产品定位、需求边界与实施计划。产品定位为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以用户自主记录为核心、以数据归属个人为原则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的跨平台投资总账本：解决个人投资者记录分散、成本口径不清、历史难追溯、费用难核算、做T 难复盘五大痛点。V1.0 聚焦"记录 + 统计"闭环；V1.1 起增加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批次管理与指定批次卖出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，让做T 的每一手买卖都能单独核算盈亏。建议总工期约 </w:t>
      </w:r>
      <w:r>
        <w:rPr>
          <w:rFonts w:hint="eastAsia" w:ascii="Microsoft YaHei" w:hAnsi="Microsoft YaHei" w:eastAsia="Microsoft YaHei" w:cs="Microsoft YaHei"/>
          <w:b w:val="1"/>
          <w:color w:val="c62828"/>
          <w:sz w:val="18"/>
        </w:rPr>
        <w:t>8 周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，行情自动获取等能力列入后续版本。</w:t>
      </w:r>
    </w:p>
    <w:p w14:paraId="00000021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 引言</w:t>
      </w:r>
      <w:bookmarkEnd w:id="1"/>
    </w:p>
    <w:p w14:paraId="0000002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本章说明文档目的、范围、术语与读者对象，界定需求基线。</w:t>
      </w:r>
    </w:p>
    <w:p w14:paraId="00000023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" w:name="section-1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1.1 编写目的</w:t>
      </w:r>
      <w:bookmarkEnd w:id="2"/>
    </w:p>
    <w:p w14:paraId="00000024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文档旨在完整定义一款基金与股票交易记账微信小程序（暂定名"仓记"）的产品定位、用户需求、功能需求、非功能需求及后续扩展方向，作为产品设计、开发实施、测试验收的基础依据。文档同时为后续迭代规划提供版本基线，任何需求变更应在本文件基础上进行版本管理。</w:t>
      </w:r>
    </w:p>
    <w:p w14:paraId="00000025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" w:name="section-1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1.2 项目范围</w:t>
      </w:r>
      <w:bookmarkEnd w:id="3"/>
    </w:p>
    <w:p w14:paraId="0000002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本项目为微信小程序端应用，核心能力是帮助用户记录基金、股票的买入与卖出交易（含成交价格、数量、费用等关键信息），并在此基础上提供持仓汇总、收益统计等分析能力。本项目为个人记账工具，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不提供实盘交易、不代客理财、不提供投资建议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。行情数据展示属于扩展能力，列入后续版本规划。</w:t>
      </w:r>
    </w:p>
    <w:p w14:paraId="00000027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4" w:name="section-1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1.3 术语定义</w:t>
      </w:r>
      <w:bookmarkEnd w:id="4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术语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一次买入或卖出操作的完整信息，含标的、方向、价格、数量、费用、时间等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某标的当前剩余份额及按加权成本法计算的成本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加权成本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多次买入摊薄后的每份平均成本，卖出时按加权成本法结转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已实现盈亏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卖出成交额减去卖出部分对应成本及费用后的损益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浮动盈亏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当前持仓按最近价格估值的账面损益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基金或股票的唯一标识，股票用六位代码+交易所，基金用六位代码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批次（Lot）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一次买入形成的一笔可独立核算的持仓，含买入价、数量、剩余数量、买入费用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做T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同一标的当日或短期内先买后卖（或先卖后买）的短线来回操作，依赖单批次成本判断成败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指定批次结转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卖出时由用户指定结转到哪一批买入成本，而非全仓加权平均，用于精确核算单笔交易盈亏</w:t>
            </w:r>
          </w:p>
        </w:tc>
      </w:tr>
    </w:tbl>
    <w:p w14:paraId="0000003C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5" w:name="section-1-4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1.4 目标读者</w:t>
      </w:r>
      <w:bookmarkEnd w:id="5"/>
    </w:p>
    <w:p w14:paraId="0000003D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产品经理、小程序开发工程师、测试工程师，以及后续参与迭代的所有项目干系人。</w:t>
      </w:r>
    </w:p>
    <w:p w14:paraId="0000003E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6" w:name="section-2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 项目背景与目标</w:t>
      </w:r>
      <w:bookmarkEnd w:id="6"/>
    </w:p>
    <w:p w14:paraId="0000003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本章交代产品要解决的真实问题、可量化的产品目标与目标用户。</w:t>
      </w:r>
    </w:p>
    <w:p w14:paraId="00000040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7" w:name="section-2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2.1 背景与痛点</w:t>
      </w:r>
      <w:bookmarkEnd w:id="7"/>
    </w:p>
    <w:p w14:paraId="00000041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个人投资者普遍面临以下记录与管理痛点：</w:t>
      </w:r>
    </w:p>
    <w:p w14:paraId="00000042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记录分散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：基金记录在支付宝、天天基金等代销平台，股票记录在券商 App，仓位分散在多个账户中，缺乏统一视图。</w:t>
      </w:r>
    </w:p>
    <w:p w14:paraId="00000043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成本不清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：多次买入卖出后，券商与基金平台展示的摊薄成本口径不一（有摊薄成本、稀释减仓成本等多种算法），用户对真实盈亏缺乏把握。</w:t>
      </w:r>
    </w:p>
    <w:p w14:paraId="00000044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历史难追溯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：部分平台只保留有限的历史成交，或用户更换券商后历史数据丢失，长期投资复盘无从下手。</w:t>
      </w:r>
    </w:p>
    <w:p w14:paraId="00000045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费用易忽略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：佣金、申购赎回费、卖出印花税等费用分散扣除，用户难以精确核算一笔投资的真实收益。</w:t>
      </w:r>
    </w:p>
    <w:p w14:paraId="00000046">
      <w:pPr>
        <w:numPr>
          <w:ilvl w:val="0"/>
          <w:numId w:val="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做T难复盘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：做T 时同一标的当日分多次买入，卖出后无法区分"卖的是哪一批"，全仓加权成本把单笔交易的成败抹平了，复盘时看不出哪一手赚、哪一手亏。</w:t>
      </w:r>
    </w:p>
    <w:p w14:paraId="0000004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本产品的定位是一款</w:t>
      </w: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以用户自主记录为核心、以数据归属个人为原则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的轻量记账工具：不追求替代券商或基金平台，而是成为用户跨平台、跨账户的投资"总账本"。</w:t>
      </w:r>
    </w:p>
    <w:p w14:paraId="00000048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8" w:name="section-2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2.2 产品目标</w:t>
      </w:r>
      <w:bookmarkEnd w:id="8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目标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衡量指标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快速记录一笔交易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 xml:space="preserve">录入一笔交易 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c62828"/>
                <w:sz w:val="16"/>
              </w:rPr>
              <w:t>≤ 30 秒</w:t>
            </w: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（标的可从历史选择，字段自动带出）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统一持仓视图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支持基金与股票混合展示，按账户、市场分组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盈亏可核算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自动计算加权成本、已实现盈亏、浮动盈亏，口径透明可解释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数据归个人所有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云端同步、可完整导出，用户注销时可带走全部数据</w:t>
            </w:r>
          </w:p>
        </w:tc>
      </w:tr>
    </w:tbl>
    <w:p w14:paraId="00000053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9" w:name="section-2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2.3 目标用户画像</w:t>
      </w:r>
      <w:bookmarkEnd w:id="9"/>
    </w:p>
    <w:p w14:paraId="00000054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主用户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：有半年以上投资经验、同时持有基金与股票、投资频次为每周数次至每月数次的个人投资者。</w:t>
      </w:r>
    </w:p>
    <w:p w14:paraId="00000055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典型行为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：在多平台下单，习惯在手机上操作；对成本与盈亏敏感，有复盘意愿但缺乏工具。</w:t>
      </w:r>
    </w:p>
    <w:p w14:paraId="00000056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次要用户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：以长期定投为主、每月仅操作一两次的"懒记账"用户，依赖快速录入与自动统计。</w:t>
      </w:r>
    </w:p>
    <w:p w14:paraId="00000057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10" w:name="section-3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3 需求分析</w:t>
      </w:r>
      <w:bookmarkEnd w:id="10"/>
    </w:p>
    <w:p w14:paraId="0000005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本章从业务场景、用户故事与约束边界三个角度收敛需求范围。</w:t>
      </w:r>
    </w:p>
    <w:p w14:paraId="00000059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1" w:name="section-3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3.1 核心业务场景</w:t>
      </w:r>
      <w:bookmarkEnd w:id="11"/>
    </w:p>
    <w:p w14:paraId="0000005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场景一：买入记录。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用户在券商 App 买入某股票后，切到本小程序，从最近标的或自选中选中该股票，输入成交价、数量，费用自动按可配置的默认费率预估（可修改），一键保存。</w:t>
      </w:r>
    </w:p>
    <w:p w14:paraId="0000005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场景二：卖出与盈亏结转。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用户卖出部分持仓后记录卖出交易，系统按加权成本法自动结转成本，实时展示"本笔已实现盈亏"与"累计已实现盈亏"。</w:t>
      </w:r>
    </w:p>
    <w:p w14:paraId="0000005C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场景三：持仓总览。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用户打开首页即可查看全部持仓的混合列表（基金、股票分组或标签区分），展示持仓市值（按手动录入的最新价或自动获取的行情估值）、成本、浮动盈亏与收益率。</w:t>
      </w:r>
    </w:p>
    <w:p w14:paraId="0000005D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场景四：复盘统计。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用户查看月度、年度统计：交易笔数、买卖总额、已实现盈亏走势、单标的盈亏排行，辅助投资复盘。</w:t>
      </w:r>
    </w:p>
    <w:p w14:paraId="0000005E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场景五：做T 卖出并标记批次。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用户当日分三笔买入同一只股票（价格 10.20、10.05、9.90），随后在 10.60 卖出其中一批。录入卖出时，系统列出该标的当前可用批次（含各批次买入价、剩余数量、当前浮盈），用户勾选"9.90 那一批 500 股"，保存后立即显示"本笔做T 盈亏 </w:t>
      </w:r>
      <w:r>
        <w:rPr>
          <w:rFonts w:hint="eastAsia" w:ascii="Microsoft YaHei" w:hAnsi="Microsoft YaHei" w:eastAsia="Microsoft YaHei" w:cs="Microsoft YaHei"/>
          <w:b w:val="1"/>
          <w:color w:val="c62828"/>
          <w:sz w:val="18"/>
        </w:rPr>
        <w:t>（10.60 − 9.90）× 500 − 费用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"，并回写该批次剩余数量。</w:t>
      </w:r>
    </w:p>
    <w:p w14:paraId="0000005F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2" w:name="section-3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3.2 用户故事（关键用例）</w:t>
      </w:r>
      <w:bookmarkEnd w:id="12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用户故事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验收要点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作为投资者，我想在 30 秒内记下一笔买入，以便不打断投资节奏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标的历史选择、数值键盘、必填项最少化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作为投资者，我想看到每只标的的摊薄成本与当前市值，以便掌握仓位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加权成本算法透明，口径在页内可查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作为投资者，我想知道每笔卖出的已实现盈亏，以便验证策略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卖出保存后立即回显本笔盈亏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作为投资者，我想按月、按年查看盈亏统计，以便复盘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支持时间区间筛选与标的筛选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作为投资者，我想导出全部记录为 Excel，以便数据归自己所有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导出含交易明细与持仓快照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作为多账户用户，我想区分"券商 A、券商 B、支付宝"等账户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账户可自定义增删，记录归属账户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US-07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作为换机用户，我想登录后数据自动同步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微信授权登录，云端按用户隔离存储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US-08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作为做T 用户，我想在卖出时标记卖的是哪一批买入，以便知道这一手的真实盈亏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卖出可选批次，盈亏按所选批次成本计算，批次剩余数量同步递减</w:t>
            </w:r>
          </w:p>
        </w:tc>
      </w:tr>
    </w:tbl>
    <w:p w14:paraId="0000007B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3" w:name="section-3-3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3.3 约束与边界</w:t>
      </w:r>
      <w:bookmarkEnd w:id="13"/>
    </w:p>
    <w:p w14:paraId="0000007C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平台约束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：微信小程序，基础库版本不低于 2.30，适配 iOS 与 Android 主流机型。</w:t>
      </w:r>
    </w:p>
    <w:p w14:paraId="0000007D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合规约束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：不接入任何下单、交易通道；不展示个股推荐与买卖信号；若展示行情数据，须使用合法授权数据源并标注"数据仅供参考，不构成投资建议"。</w:t>
      </w:r>
    </w:p>
    <w:p w14:paraId="0000007E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数据约束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：所有财务数据仅用户本人可见；导出、删除功能完整可用，满足个人数据可携带要求。</w:t>
      </w:r>
    </w:p>
    <w:p w14:paraId="0000007F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版本约束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：V1.0 聚焦"记录 + 统计"，行情自动获取、消息提醒等列入 V1.1 及之后版本。</w:t>
      </w:r>
    </w:p>
    <w:p w14:paraId="00000080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成本口径约束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：系统同时提供"加权平均"与"指定批次"两种成本结转法，默认加权平均；用户对单笔卖出可手动指定批次。同一笔卖出只能归属一种口径，切换口径需全量重算，须在口径说明页明确提示。</w:t>
      </w:r>
    </w:p>
    <w:p w14:paraId="00000081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14" w:name="section-4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4 功能需求</w:t>
      </w:r>
      <w:bookmarkEnd w:id="14"/>
    </w:p>
    <w:p w14:paraId="00000082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功能按优先级划分：P0 为 V1.0 必备，P1 为 V1.1 规划，P2 为远期扩展。</w:t>
      </w:r>
    </w:p>
    <w:p w14:paraId="00000083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5" w:name="section-4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4.1 功能清单总览</w:t>
      </w:r>
      <w:bookmarkEnd w:id="15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模块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功能点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新增买入、卖出记录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核心录入功能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编辑、删除记录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删除需二次确认并重算持仓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交易流水列表与筛选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按时间、标的、账户、方向筛选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卖出指定批次（做T 标记）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从该标的可用批次中勾选，支持拆分量；盈亏按指定批次成本计算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批次持仓明细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按标的展开查看各批次买入价、剩余数量、批次浮盈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批次配对复盘视图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同一标的买卖配对，展示每笔做T 的盈亏与持有天数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标的搜索与新增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手输代码+名称；V1.0 不依赖行情接口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最近标的、自选收藏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提升录入效率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持仓汇总视图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市值、成本、浮动盈亏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最新价录入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手动更新估值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持仓管理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行情自动获取（估值）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对接行情数据源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统计分析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已实现、浮动盈亏统计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区间统计、标的排行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统计分析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月度、年度报表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图表化展示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账户体系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微信登录、云端同步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openid 隔离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账户体系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多账户（券商、平台）管理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自定义账户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Excel 导出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交易明细+持仓快照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数据备份与恢复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全量导出、导入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设置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费率模板、显示偏好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12121"/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默认佣金、配色、分组方式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扩展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定投计划与提醒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定投打卡与到期提醒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扩展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分红、派息、配股记录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现金分红计入收益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扩展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多币种（港美股）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汇率折算</w:t>
            </w:r>
          </w:p>
        </w:tc>
      </w:tr>
    </w:tbl>
    <w:p w14:paraId="000000DC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16" w:name="section-4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4.2 核心功能详细需求</w:t>
      </w:r>
      <w:bookmarkEnd w:id="16"/>
    </w:p>
    <w:p w14:paraId="000000DD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以下四小节逐一说明 P0 核心功能的字段、校验规则与计算口径，作为开发与测试的直接依据。</w:t>
      </w:r>
    </w:p>
    <w:p w14:paraId="000000DE">
      <w:pPr>
        <w:pStyle w:val="00000c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sz w:val="28"/>
          <w:szCs w:val="28"/>
        </w:rPr>
      </w:pPr>
      <w:bookmarkStart w:id="17" w:name="section-4-2-1"/>
      <w:r>
        <w:rPr>
          <w:rFonts w:hint="eastAsia" w:ascii="Microsoft YaHei" w:hAnsi="Microsoft YaHei" w:eastAsia="Microsoft YaHei" w:cs="Microsoft YaHei"/>
          <w:b w:val="1"/>
          <w:sz w:val="20"/>
        </w:rPr>
        <w:t>4.2.1 新增交易记录（P0）</w:t>
      </w:r>
      <w:bookmarkEnd w:id="17"/>
    </w:p>
    <w:p w14:paraId="000000D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录入字段如下：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必填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类型与取值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交易方向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买入 / 卖出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默认买入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基金 / 股票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影响代码规则与费用项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标的代码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股票 6 位（沪 6、深 0/3、北交所 8/4 开头）；基金 6 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输入后自动带出已存名称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标的名称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文本，≤ 20 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首次录入需填写，之后自动带出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用户自定义账户列表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默认上次使用的账户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成交日期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日期选择器，默认今天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支持补录历史交易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成交价格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数值，精度 3 位（基金）、2 位（股票）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数值键盘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成交数量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正整数；场内基金 100 份起、股票 100 股起（软校验，可勾选"忽略整数手限制"以支持场外基金份额）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3">
            <w:pPr>
              <w:jc w:val="left"/>
              <w:rPr>
                <w:color w:val="212121"/>
              </w:rPr>
            </w:pP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批次归属（仅卖出）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自动分配 / 手动指定批次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手动指定时从该标的可用批次中勾选，可多批次拆分；不选则按默认口径自动结转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手续费、佣金、印花税、申购赎回费等分项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未填时按费率模板预估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备注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文本，≤ 100 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如买入理由</w:t>
            </w:r>
          </w:p>
        </w:tc>
      </w:tr>
    </w:tbl>
    <w:p w14:paraId="00000110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交互与校验规则：</w:t>
      </w:r>
    </w:p>
    <w:p w14:paraId="00000111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卖出数量不得超过该标的当前持仓份额，超出时阻断保存并提示当前可卖数量。</w:t>
      </w:r>
    </w:p>
    <w:p w14:paraId="00000112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保存成功后，若为卖出，立即回显"本笔已实现盈亏"；若为买入，提示更新后的持仓成本。</w:t>
      </w:r>
    </w:p>
    <w:p w14:paraId="00000113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补录历史交易时，持仓计算按成交日期排序重放，页面提示"已按历史顺序重算持仓"。</w:t>
      </w:r>
    </w:p>
    <w:p w14:paraId="00000114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支持一次录入后"再记一笔"快速连续录入。</w:t>
      </w:r>
    </w:p>
    <w:p w14:paraId="00000115">
      <w:pPr>
        <w:numPr>
          <w:ilvl w:val="0"/>
          <w:numId w:val="3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卖出时若未指定批次，按默认结转法自动分配；指定批次的数量合计必须等于卖出总量，否则阻断并给出补齐操作。</w:t>
      </w:r>
    </w:p>
    <w:p w14:paraId="00000116">
      <w:pPr>
        <w:pStyle w:val="00000c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sz w:val="28"/>
          <w:szCs w:val="28"/>
        </w:rPr>
      </w:pPr>
      <w:bookmarkStart w:id="18" w:name="section-4-2-2"/>
      <w:r>
        <w:rPr>
          <w:rFonts w:hint="eastAsia" w:ascii="Microsoft YaHei" w:hAnsi="Microsoft YaHei" w:eastAsia="Microsoft YaHei" w:cs="Microsoft YaHei"/>
          <w:b w:val="1"/>
          <w:sz w:val="20"/>
        </w:rPr>
        <w:t>4.2.2 持仓与盈亏计算（P0）</w:t>
      </w:r>
      <w:bookmarkEnd w:id="18"/>
    </w:p>
    <w:p w14:paraId="0000011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计算口径（须在产品内"口径说明"页完整展示）：</w:t>
      </w:r>
    </w:p>
    <w:p w14:paraId="00000118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成本结转法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：支持加权平均法（默认）与指定批次法（见 4.2.5），逐笔卖出可选。</w:t>
      </w:r>
    </w:p>
    <w:p w14:paraId="00000119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加权成本法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：每次买入后，持仓成本 =（原持仓成本 × 原份额 + 本次买入金额 + 本次买入费用）÷（原份额 + 本次份额）。卖出时，结转成本 = 当前加权成本 × 卖出份额，持仓成本与份额同额减少；卖出费用计入已实现盈亏的扣减项。</w:t>
      </w:r>
    </w:p>
    <w:p w14:paraId="0000011A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已实现盈亏（加权口径）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 = 卖出成交额 − 卖出份额 × 当前加权成本 − 卖出费用。</w:t>
      </w:r>
    </w:p>
    <w:p w14:paraId="0000011B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已实现盈亏（指定批次口径）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 = 卖出成交额 − Σ(所选批次买入单价 × 卖出数量) − 卖出费用 − 分摊的批次买入费用。</w:t>
      </w:r>
    </w:p>
    <w:p w14:paraId="0000011C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浮动盈亏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 xml:space="preserve"> = 最新价 × 持仓份额 − 持仓总成本。V1.0 最新价由用户手动维护；V1.1 起可自动获取并标注数据时间。</w:t>
      </w:r>
    </w:p>
    <w:p w14:paraId="0000011D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持仓收益率的分母统一为持仓总成本，不做年化处理（避免口径争议）。</w:t>
      </w:r>
    </w:p>
    <w:p w14:paraId="0000011E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口径切换（加权与指定批次互换）会改变已实现盈亏与剩余持仓成本，切换时须弹出确认并全量重算，不保留两套口径的并行结果。</w:t>
      </w:r>
    </w:p>
    <w:p w14:paraId="0000011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持仓列表展示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：标的（名称+代码+类型标签）、持仓份额、持仓成本、最新价及其更新时间、市值、浮动盈亏与收益率；支持按市场、账户、类型分组，支持按盈亏、市值排序。</w:t>
      </w:r>
    </w:p>
    <w:p w14:paraId="00000120">
      <w:pPr>
        <w:pStyle w:val="00000c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sz w:val="28"/>
          <w:szCs w:val="28"/>
        </w:rPr>
      </w:pPr>
      <w:bookmarkStart w:id="19" w:name="section-4-2-3"/>
      <w:r>
        <w:rPr>
          <w:rFonts w:hint="eastAsia" w:ascii="Microsoft YaHei" w:hAnsi="Microsoft YaHei" w:eastAsia="Microsoft YaHei" w:cs="Microsoft YaHei"/>
          <w:b w:val="1"/>
          <w:sz w:val="20"/>
        </w:rPr>
        <w:t>4.2.3 统计分析（P0 基础版）</w:t>
      </w:r>
      <w:bookmarkEnd w:id="19"/>
    </w:p>
    <w:p w14:paraId="00000121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区间统计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：选定时间段内的买入总额、卖出总额、费用合计、已实现盈亏合计。</w:t>
      </w:r>
    </w:p>
    <w:p w14:paraId="00000122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标的排行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：按已实现盈亏、浮动盈亏正序、倒序排列的标的列表。</w:t>
      </w:r>
    </w:p>
    <w:p w14:paraId="00000123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概览卡片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：首页顶部展示总市值、总成本、总浮动盈亏、累计已实现盈亏。</w:t>
      </w:r>
    </w:p>
    <w:p w14:paraId="00000124">
      <w:pPr>
        <w:numPr>
          <w:ilvl w:val="0"/>
          <w:numId w:val="4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月度、年度图表（折线、柱状）列入 P1，V1.0 以数字卡片为主。</w:t>
      </w:r>
    </w:p>
    <w:p w14:paraId="00000125">
      <w:pPr>
        <w:pStyle w:val="00000c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sz w:val="28"/>
          <w:szCs w:val="28"/>
        </w:rPr>
      </w:pPr>
      <w:bookmarkStart w:id="20" w:name="section-4-2-4"/>
      <w:r>
        <w:rPr>
          <w:rFonts w:hint="eastAsia" w:ascii="Microsoft YaHei" w:hAnsi="Microsoft YaHei" w:eastAsia="Microsoft YaHei" w:cs="Microsoft YaHei"/>
          <w:b w:val="1"/>
          <w:sz w:val="20"/>
        </w:rPr>
        <w:t>4.2.4 数据管理与账户体系（P0、P1）</w:t>
      </w:r>
      <w:bookmarkEnd w:id="20"/>
    </w:p>
    <w:p w14:paraId="00000126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登录与同步（P0）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：微信一键授权登录，数据按用户 openid 严格隔离，云端自动同步；未登录状态允许本地记录，登录后合并上传（以记录创建时间戳去重）。</w:t>
      </w:r>
    </w:p>
    <w:p w14:paraId="00000127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多账户（P0）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：账户可自定义名称（如"华泰证券""支付宝基金"），支持增删改名；删除账户前须迁移或确认删除其下记录。</w:t>
      </w:r>
    </w:p>
    <w:p w14:paraId="00000128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导出（P1）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：一键导出 .xlsx，包含交易明细表、持仓快照表、账户与费率配置表；导出文件通过微信文件会话发送给用户。</w:t>
      </w:r>
    </w:p>
    <w:p w14:paraId="00000129">
      <w:pPr>
        <w:pStyle w:val="00000c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sz w:val="28"/>
          <w:szCs w:val="28"/>
        </w:rPr>
      </w:pPr>
      <w:bookmarkStart w:id="21" w:name="section-4-2-5"/>
      <w:r>
        <w:rPr>
          <w:rFonts w:hint="eastAsia" w:ascii="Microsoft YaHei" w:hAnsi="Microsoft YaHei" w:eastAsia="Microsoft YaHei" w:cs="Microsoft YaHei"/>
          <w:b w:val="1"/>
          <w:sz w:val="20"/>
        </w:rPr>
        <w:t>4.2.5 批次管理与指定批次卖出（做T 场景，P0）</w:t>
      </w:r>
      <w:bookmarkEnd w:id="2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12A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本节回应做T 场景的核心诉求：卖出时可以标记"卖的是哪一批买入"，并据此计算这一手的真实盈亏，而不是被全仓加权成本抹平。</w:t>
            </w:r>
          </w:p>
        </w:tc>
      </w:tr>
    </w:tbl>
    <w:p w14:paraId="0000012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批次生成规则</w:t>
      </w:r>
    </w:p>
    <w:p w14:paraId="0000012C">
      <w:pPr>
        <w:numPr>
          <w:ilvl w:val="0"/>
          <w:numId w:val="5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每一笔买入自动生成一个批次（Lot），记录：批次编号、买入价、买入数量、剩余数量、买入费用、买入时间、状态（持有中、部分卖出、已清仓）。</w:t>
      </w:r>
    </w:p>
    <w:p w14:paraId="0000012D">
      <w:pPr>
        <w:numPr>
          <w:ilvl w:val="0"/>
          <w:numId w:val="5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场外基金申购按确认份额生成批次；送股、分红再投的批次生成规则列入 P2。</w:t>
      </w:r>
    </w:p>
    <w:p w14:paraId="0000012E">
      <w:pPr>
        <w:numPr>
          <w:ilvl w:val="0"/>
          <w:numId w:val="5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升级迁移：版本升级时按存量买入记录回放生成批次；若历史记录缺买入价，允许标注"成本待补"，暂以加权成本作为批次成本，并在批次列表标记。</w:t>
      </w:r>
    </w:p>
    <w:p w14:paraId="0000012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卖出时的批次归属（逐笔可选）</w:t>
      </w:r>
    </w:p>
    <w:p w14:paraId="00000130">
      <w:pPr>
        <w:numPr>
          <w:ilvl w:val="0"/>
          <w:numId w:val="6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自动分配（默认）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：按用户设定的默认结转法（加权平均或先进先出）自动处理，普通用户零额外操作。</w:t>
      </w:r>
    </w:p>
    <w:p w14:paraId="00000131">
      <w:pPr>
        <w:numPr>
          <w:ilvl w:val="0"/>
          <w:numId w:val="6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手动指定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：卖出录入页选择"指定批次"，弹出该标的可用批次列表（买入日期、买入价、剩余数量、按当前价计算的批次浮盈），勾选并填写本次从该批次卖出的数量。卖出总量可由多个批次拆分组成，例如卖出 300 股 = 批次 A 200 股 + 批次 B 100 股。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批次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买入日期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买入价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剩余数量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本次卖出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批次浮盈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 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10-30 09:35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10.20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500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+200.00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 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10-30 10:05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10.05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500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+275.00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 3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10-30 10:42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9.90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500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500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+350.00</w:t>
            </w:r>
          </w:p>
        </w:tc>
      </w:tr>
    </w:tbl>
    <w:p w14:paraId="0000014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校验规则</w:t>
      </w:r>
    </w:p>
    <w:p w14:paraId="0000014B">
      <w:pPr>
        <w:numPr>
          <w:ilvl w:val="0"/>
          <w:numId w:val="7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所选批次数量合计必须等于卖出总量；不等时提供"按先进先出补齐"与"改为自动分配"一键操作。</w:t>
      </w:r>
    </w:p>
    <w:p w14:paraId="0000014C">
      <w:pPr>
        <w:numPr>
          <w:ilvl w:val="0"/>
          <w:numId w:val="7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单批次卖出数量不得超过该批次剩余数量，超出时阻断并提示可卖上限。</w:t>
      </w:r>
    </w:p>
    <w:p w14:paraId="0000014D">
      <w:pPr>
        <w:numPr>
          <w:ilvl w:val="0"/>
          <w:numId w:val="7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勾选批次时实时预演本笔盈亏，保存前即可见结果。</w:t>
      </w:r>
    </w:p>
    <w:p w14:paraId="0000014E">
      <w:pPr>
        <w:numPr>
          <w:ilvl w:val="0"/>
          <w:numId w:val="7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编辑或删除卖出记录后，批次剩余数量按交易重放重算，不依赖增量修改，避免脏数据。</w:t>
      </w:r>
    </w:p>
    <w:p w14:paraId="0000014F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指定批次口径下的计算</w:t>
      </w:r>
    </w:p>
    <w:p w14:paraId="00000150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本笔已实现盈亏 = 卖出成交额 − Σ(所选批次买入单价 × 对应卖出数量) − 卖出费用 − 按数量分摊的该批次买入费用。</w:t>
      </w:r>
    </w:p>
    <w:p w14:paraId="00000151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剩余持仓成本 = 原持仓总成本 − Σ(所选批次买入成本 + 分摊买入费用)；剩余份额 = 原份额 − 本次卖出总量。</w:t>
      </w:r>
    </w:p>
    <w:p w14:paraId="00000152">
      <w:pPr>
        <w:numPr>
          <w:ilvl w:val="0"/>
          <w:numId w:val="2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必须提示的副作用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：指定批次卖出后，剩余持仓的加权成本会因"卖掉的是低成本批次"而上升或下降。这属于正常结果，但会与券商展示的成本（多为加权或先进先出）不一致，口径说明页须给出数值示例。</w:t>
      </w:r>
    </w:p>
    <w:p w14:paraId="00000153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界面要求</w:t>
      </w:r>
    </w:p>
    <w:p w14:paraId="00000154">
      <w:pPr>
        <w:numPr>
          <w:ilvl w:val="0"/>
          <w:numId w:val="8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卖出表单中"批次归属"默认为自动，并在字段下方用一行小字说明当前默认口径。</w:t>
      </w:r>
    </w:p>
    <w:p w14:paraId="00000155">
      <w:pPr>
        <w:numPr>
          <w:ilvl w:val="0"/>
          <w:numId w:val="8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批次选择采用半屏浮层，顶部显示"可卖合计 X 股、共 N 个批次"，底部提供"按先进先出填充"快捷键。</w:t>
      </w:r>
    </w:p>
    <w:p w14:paraId="00000156">
      <w:pPr>
        <w:numPr>
          <w:ilvl w:val="0"/>
          <w:numId w:val="8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保存成功回执展示三项信息：本笔盈亏、所归属批次、该批次剩余数量。</w:t>
      </w:r>
    </w:p>
    <w:p w14:paraId="00000157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与统计联动</w:t>
      </w:r>
    </w:p>
    <w:p w14:paraId="00000158">
      <w:pPr>
        <w:numPr>
          <w:ilvl w:val="0"/>
          <w:numId w:val="9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交易流水中每笔卖出显示批次标记，如"批次 3 · 买入价 9.90"。</w:t>
      </w:r>
    </w:p>
    <w:p w14:paraId="00000159">
      <w:pPr>
        <w:numPr>
          <w:ilvl w:val="0"/>
          <w:numId w:val="9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标的详情增加"批次流水"：每个批次的买入价、已卖数量、已实现盈亏、剩余数量。</w:t>
      </w:r>
    </w:p>
    <w:p w14:paraId="0000015A">
      <w:pPr>
        <w:numPr>
          <w:ilvl w:val="0"/>
          <w:numId w:val="9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P1 增加做T 配对视图：按买卖配对展示持有天数与单笔收益率，用于复盘哪一手做得对。</w:t>
      </w:r>
    </w:p>
    <w:p w14:paraId="0000015B">
      <w:pPr>
        <w:pStyle w:val="00000c"/>
        <w:keepNext w:val="1"/>
        <w:keepLines w:val="1"/>
        <w:spacing w:before="240" w:beforeAutospacing="1" w:after="180" w:afterAutospacing="1" w:line="384"/>
        <w:ind w:left="0" w:right="0"/>
        <w:outlineLvl w:val="3"/>
        <w:rPr>
          <w:sz w:val="28"/>
          <w:szCs w:val="28"/>
        </w:rPr>
      </w:pPr>
      <w:bookmarkStart w:id="22" w:name="section-4-3"/>
      <w:r>
        <w:rPr>
          <w:rFonts w:hint="eastAsia" w:ascii="Microsoft YaHei" w:hAnsi="Microsoft YaHei" w:eastAsia="Microsoft YaHei" w:cs="Microsoft YaHei"/>
          <w:b w:val="1"/>
          <w:sz w:val="20"/>
        </w:rPr>
        <w:t>4.3 页面结构规划</w:t>
      </w:r>
      <w:bookmarkEnd w:id="22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页面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主要内容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首页（持仓）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资产概览卡片、持仓列表、快速记一笔入口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记录页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交易流水列表、筛选器、新增、编辑入口、批次选择浮层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统计页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区间选择、统计卡片、标的排行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我的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账户管理、费率模板、口径说明、数据导出、设置</w:t>
            </w:r>
          </w:p>
        </w:tc>
      </w:tr>
    </w:tbl>
    <w:p w14:paraId="0000016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底部 Tab 采用 4 Tab 结构：持仓、记录、统计、我的。"记一笔"采用首页悬浮按钮 + 记录页顶部按钮双入口。</w:t>
      </w:r>
    </w:p>
    <w:p w14:paraId="00000167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3" w:name="section-5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5 非功能需求</w:t>
      </w:r>
      <w:bookmarkEnd w:id="23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类别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需求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性能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首页冷启动 ≤ 2 秒；1000 条交易记录内列表滚动与统计计算无明显卡顿（计算放云端或分页）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可用性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核心录入路径 ≤ 3 步；关键数值输入使用数字键盘并支持小数点；错误提示明确到字段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数据安全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传输全程 HTTPS；云端按用户隔离；敏感信息（如账户备注）不参与任何分析；删除操作软删除 + 30 天回收站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合规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隐私政策首次启动弹窗确认；不采集与记账无关的个人信息；展示行情时标注数据来源与免责声明；不提供任何投资建议功能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兼容性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适配 iOS 14+、Android 8+ 的微信环境；iPhone SE 至 iPad 迷你尺寸正常显示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可扩展性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数据模型预留"标的类型"字段（可扩展至债券、ETF、港美股）；费用分项可配置，新增费用类型不改表结构</w:t>
            </w:r>
          </w:p>
        </w:tc>
      </w:tr>
    </w:tbl>
    <w:p w14:paraId="00000176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4" w:name="section-6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6 扩展功能规划（V1.1 及以后）</w:t>
      </w:r>
      <w:bookmarkEnd w:id="24"/>
    </w:p>
    <w:p w14:paraId="00000177">
      <w:pPr>
        <w:numPr>
          <w:ilvl w:val="0"/>
          <w:numId w:val="10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行情自动获取（V1.1，P1）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：对接合法行情数据源，自动更新持仓最新价与净值，展示涨跌幅；需评估数据源授权成本与调用频次限制。</w:t>
      </w:r>
    </w:p>
    <w:p w14:paraId="00000178">
      <w:pPr>
        <w:numPr>
          <w:ilvl w:val="0"/>
          <w:numId w:val="10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定投计划（V1.2，P2）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：设定定投周期与金额，到期生成待记录提醒，一键按计划录入。</w:t>
      </w:r>
    </w:p>
    <w:p w14:paraId="00000179">
      <w:pPr>
        <w:numPr>
          <w:ilvl w:val="0"/>
          <w:numId w:val="10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分红与公司行动（V1.2，P2）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：记录现金分红、送股、配股，纳入收益口径（分红计入已实现收益或单列"分红收益"）。</w:t>
      </w:r>
    </w:p>
    <w:p w14:paraId="0000017A">
      <w:pPr>
        <w:numPr>
          <w:ilvl w:val="0"/>
          <w:numId w:val="10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多市场支持（V2.0，P2）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：港美股与多币种，按汇率折算市值与盈亏。</w:t>
      </w:r>
    </w:p>
    <w:p w14:paraId="0000017B">
      <w:pPr>
        <w:numPr>
          <w:ilvl w:val="0"/>
          <w:numId w:val="10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智能复盘（远期）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：基于用户自有数据的统计洞察，如"卖出后 N 日收益分布"，仅做个人数据描述性统计，不构成投资建议。</w:t>
      </w:r>
    </w:p>
    <w:p w14:paraId="0000017C">
      <w:pPr>
        <w:numPr>
          <w:ilvl w:val="0"/>
          <w:numId w:val="10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b w:val="1"/>
          <w:color w:val="212121"/>
          <w:sz w:val="18"/>
        </w:rPr>
        <w:t>桌面小组件与订阅消息</w:t>
      </w:r>
      <w:r>
        <w:rPr>
          <w:rFonts w:hint="eastAsia" w:ascii="Microsoft YaHei" w:hAnsi="Microsoft YaHei" w:eastAsia="Microsoft YaHei" w:cs="Microsoft YaHei"/>
          <w:color w:val="212121"/>
          <w:sz w:val="18"/>
        </w:rPr>
        <w:t>：微信订阅消息推送定投提醒、月度记账报告。</w:t>
      </w:r>
    </w:p>
    <w:p w14:paraId="0000017D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5" w:name="section-7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 技术方案建议</w:t>
      </w:r>
      <w:bookmarkEnd w:id="25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7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选型建议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前端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微信小程序原生（或 Taro）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原生保证数值键盘、图表组件兼容性；团队熟悉 React 可选 Taro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后端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微信云开发（云函数 + 云数据库）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免运维、与微信登录天然打通，适合个人开发者起步；用户量增长后可迁移自建服务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数据库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云开发文档数据库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集合：users、accounts、instruments（标的）、transactions（交易）、lots（持仓批次）、positions_snapshot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图表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ECharts for 小程序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统计页 P1 阶段引入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导出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云函数生成 xlsx（exceljs）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8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生成后上传云存储，通过文件链接下发</w:t>
            </w:r>
          </w:p>
        </w:tc>
      </w:tr>
    </w:tbl>
    <w:p w14:paraId="00000190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核心数据模型（交易记录集合 transactions）：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归属用户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account_id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归属账户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instrument_code / instrument_type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标的代码与类型（fund、stock）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side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9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buy / sell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成交价格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quantity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成交数量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fees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object[]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费用分项数组 [{type, amount}]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allocations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A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object[]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仅卖出记录：批次结转明细 [{lot_id, qty, unit_cost}]；空数组表示按默认口径自动结转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traded_at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成交日期时间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note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created_at / updated_at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审计字段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deleted_at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软删除标记</w:t>
            </w:r>
          </w:p>
        </w:tc>
      </w:tr>
    </w:tbl>
    <w:p w14:paraId="000001B8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核心数据模型（持仓批次集合 lots）：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类型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lot_id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D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批次编号，买入记录写入时生成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user_id / account_id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0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归属用户与账户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instrument_code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3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标的代码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open_tx_id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生成该批次的买入交易 ID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open_price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9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批次买入价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B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open_qty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C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批次买入数量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E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remain_qty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F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剩余数量，卖出指定后递减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1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open_fee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2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number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该批次分摊的买入费用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4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status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5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string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6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holding / partial / closed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7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opened_at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8">
            <w:pPr>
              <w:jc w:val="left"/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color w:val="212121"/>
                <w:sz w:val="16"/>
              </w:rPr>
              <w:t>date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买入时间，用于先进先出排序与做T 配对</w:t>
            </w:r>
          </w:p>
        </w:tc>
      </w:tr>
    </w:tbl>
    <w:p w14:paraId="000001DA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持仓不单独存储实时计算结果，而由交易记录重放计算，并在写入时更新一份 positions 快照集合以加速首页展示。批次由买入记录派生、由卖出 allocations 消耗，二者均以重放结果为准，因此删除或修改任意交易后批次数量可自动恢复正确，无需手工修补。</w:t>
      </w:r>
    </w:p>
    <w:p w14:paraId="000001DB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6" w:name="section-8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8 里程碑计划（建议）</w:t>
      </w:r>
      <w:bookmarkEnd w:id="26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阶段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建议周期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M1 需求确认与原型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需求评审、交互原型、视觉稿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1 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M2 核心功能开发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交易录入、批次与指定批次卖出、持仓计算、统计卡片、登录同步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4 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M3 完善与测试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筛选、账户管理、口径说明、批次边界场景（拆分量、超卖、改删重算）测试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2 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M4 提审与发布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体验版内测、隐私合规检查、微信审核发布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1 周</w:t>
            </w:r>
          </w:p>
        </w:tc>
      </w:tr>
    </w:tbl>
    <w:p w14:paraId="000001EB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V1.0 上线后以两周为一个迭代周期，按 4.1 清单中的 P1 至 P2 顺序推进。</w:t>
      </w:r>
    </w:p>
    <w:p w14:paraId="000001EC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7" w:name="section-9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9 风险与应对</w:t>
      </w:r>
      <w:bookmarkEnd w:id="27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风险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等级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16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行情数据源授权成本高或接口不稳定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V1.0 以手动录入最新价兜底，行情功能做成可开关的独立模块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加权成本口径与用户预期不一致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5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"口径说明"页透明展示算法；提供"口径反馈"入口收集诉求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6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微信审核合规（涉及金融类目）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7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8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严格定位为记账工具，不涉及交易与荐股；提前核对《微信小程序平台运营规范》金融类目要求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9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补录历史数据导致持仓与平台对不上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A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B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提供持仓核对入口，允许用户微调期初持仓（期初建仓快照）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C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单机数据丢失担忧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D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E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云端同步 + P1 导出能力，双通道保底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F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指定批次口径与券商成本不一致，引发用户对数字的质疑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0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1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口径说明页给出数值示例并明确差异来源；提供"一键切回加权平均"重算入口；卖出回执标注本笔所用口径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2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批次拆分录入过重，做T 高频用户嫌麻烦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3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204">
            <w:pPr>
              <w:jc w:val="left"/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6"/>
              </w:rPr>
              <w:t>默认自动分配；提供"按先进先出填充"与"上次批次"快捷方式；支持复制上一笔交易</w:t>
            </w:r>
          </w:p>
        </w:tc>
      </w:tr>
    </w:tbl>
    <w:p w14:paraId="00000205">
      <w:pPr>
        <w:pStyle w:val="000005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12"/>
        <w:ind w:left="0" w:right="0"/>
        <w:outlineLvl w:val="1"/>
        <w:rPr>
          <w:color w:val="1a237e"/>
          <w:sz w:val="32"/>
          <w:szCs w:val="32"/>
        </w:rPr>
      </w:pPr>
      <w:bookmarkStart w:id="28" w:name="section-10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10 附录</w:t>
      </w:r>
      <w:bookmarkEnd w:id="28"/>
    </w:p>
    <w:p w14:paraId="00000206">
      <w:pPr>
        <w:spacing w:before="0" w:after="180" w:line="384"/>
        <w:ind w:left="0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附录给出验收要点与合规声明文案，供开发自测与上线审核使用。</w:t>
      </w:r>
    </w:p>
    <w:p w14:paraId="00000207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29" w:name="section-10-1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10.1 验收要点摘要</w:t>
      </w:r>
      <w:bookmarkEnd w:id="29"/>
    </w:p>
    <w:p w14:paraId="00000208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录入、编辑、删除一笔交易后，持仓成本与盈亏均正确重算（含乱序补录场景）。</w:t>
      </w:r>
    </w:p>
    <w:p w14:paraId="00000209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卖出超仓、非法代码、缺失必填项等异常输入均被正确拦截并给出可理解的提示。</w:t>
      </w:r>
    </w:p>
    <w:p w14:paraId="0000020A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未登录本地记录，登录后合并，无重复、无丢失。</w:t>
      </w:r>
    </w:p>
    <w:p w14:paraId="0000020B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导出的 Excel 数据与页面展示一致。</w:t>
      </w:r>
    </w:p>
    <w:p w14:paraId="0000020C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指定批次卖出后，本笔已实现盈亏严格等于该批次买入价与卖出价的差额扣费结果；该批次剩余数量正确递减，全部卖出后状态为已清仓。</w:t>
      </w:r>
    </w:p>
    <w:p w14:paraId="0000020D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拆分卖出（多批次合计）与超量卖出（单批次超出剩余）均按 4.2.5 校验规则处理，不产生负剩余数量。</w:t>
      </w:r>
    </w:p>
    <w:p w14:paraId="0000020E">
      <w:pPr>
        <w:numPr>
          <w:ilvl w:val="0"/>
          <w:numId w:val="11"/>
        </w:numPr>
        <w:spacing w:before="0" w:after="84" w:line="384"/>
        <w:ind w:left="384" w:right="0"/>
        <w:rPr>
          <w:color w:val="212121"/>
        </w:rPr>
      </w:pPr>
      <w:r>
        <w:rPr>
          <w:rFonts w:hint="eastAsia" w:ascii="Microsoft YaHei" w:hAnsi="Microsoft YaHei" w:eastAsia="Microsoft YaHei" w:cs="Microsoft YaHei"/>
          <w:color w:val="212121"/>
          <w:sz w:val="18"/>
        </w:rPr>
        <w:t>修改或删除一笔已指定批次的卖出记录后，相关批次剩余数量与持仓成本自动恢复正确。</w:t>
      </w:r>
    </w:p>
    <w:p w14:paraId="0000020F">
      <w:pPr>
        <w:pStyle w:val="000006"/>
        <w:keepNext w:val="1"/>
        <w:keepLines w:val="1"/>
        <w:spacing w:before="240" w:beforeAutospacing="1" w:after="180" w:afterAutospacing="1" w:line="384"/>
        <w:ind w:left="0" w:right="0"/>
        <w:outlineLvl w:val="2"/>
        <w:rPr>
          <w:color w:val="212121"/>
          <w:sz w:val="32"/>
          <w:szCs w:val="32"/>
        </w:rPr>
      </w:pPr>
      <w:bookmarkStart w:id="30" w:name="section-10-2"/>
      <w:r>
        <w:rPr>
          <w:rFonts w:hint="eastAsia" w:ascii="Microsoft YaHei" w:hAnsi="Microsoft YaHei" w:eastAsia="Microsoft YaHei" w:cs="Microsoft YaHei"/>
          <w:b w:val="1"/>
          <w:color w:val="212121"/>
          <w:sz w:val="22"/>
        </w:rPr>
        <w:t>10.2 合规声明文案（建议）</w:t>
      </w:r>
      <w:bookmarkEnd w:id="3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5f7fa"/>
            <w:tcMar>
              <w:top w:w="144" w:type="dxa"/>
              <w:bottom w:w="144" w:type="dxa"/>
            </w:tcMar>
            <w:vAlign w:val="center"/>
          </w:tcPr>
          <w:p w14:paraId="00000210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color w:val="212121"/>
                <w:sz w:val="18"/>
              </w:rPr>
              <w:t>本小程序为个人投资记录工具，所有数据由用户自行录入，展示的统计结果仅供参考，不构成任何投资建议。市场有风险，投资需谨慎。</w:t>
            </w:r>
          </w:p>
        </w:tc>
      </w:tr>
    </w:tbl>
    <w:p w14:paraId="00000211"/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21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1"/>
  </w:num>
  <w:num w:numId="5">
    <w:abstractNumId w:val="3"/>
  </w:num>
  <w:num w:numId="11">
    <w:abstractNumId w:val="6"/>
  </w:num>
  <w:num w:numId="7">
    <w:abstractNumId w:val="10"/>
  </w:num>
  <w:num w:numId="8">
    <w:abstractNumId w:val="9"/>
  </w:num>
  <w:num w:numId="10">
    <w:abstractNumId w:val="2"/>
  </w:num>
  <w:num w:numId="1">
    <w:abstractNumId w:val="8"/>
  </w:num>
  <w:num w:numId="9">
    <w:abstractNumId w:val="0"/>
  </w:num>
  <w:num w:numId="2">
    <w:abstractNumId w:val="4"/>
  </w:num>
  <w:num w:numId="6">
    <w:abstractNumId w:val="7"/>
  </w:num>
  <w:num w:numId="3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List Continue" w:semiHidden="1" w:unhideWhenUsed="1"/>
    <w:lsdException w:name="envelope address" w:semiHidden="1" w:unhideWhenUsed="1"/>
    <w:lsdException w:name="index 5" w:semiHidden="1" w:unhideWhenUsed="1"/>
    <w:lsdException w:name="List Bullet 5" w:semiHidden="1" w:unhideWhenUsed="1"/>
    <w:lsdException w:name="Hyperlink" w:semiHidden="1" w:unhideWhenUsed="1"/>
    <w:lsdException w:name="List Number 5" w:semiHidden="1" w:unhideWhenUsed="1"/>
    <w:lsdException w:name="Signature" w:semiHidden="1" w:unhideWhenUsed="1"/>
    <w:lsdException w:name="Default Paragraph Font" w:uiPriority="1" w:semiHidden="1" w:unhideWhenUsed="1"/>
    <w:lsdException w:name="endnote reference" w:semiHidden="1" w:unhideWhenUsed="1"/>
    <w:lsdException w:name="heading 8" w:uiPriority="9" w:semiHidden="1" w:unhideWhenUsed="1" w:qFormat="1"/>
    <w:lsdException w:name="List Number 4" w:semiHidden="1" w:unhideWhenUsed="1"/>
    <w:lsdException w:name="heading 3" w:uiPriority="9" w:semiHidden="1" w:unhideWhenUsed="1" w:qFormat="1"/>
    <w:lsdException w:name="List Bullet 2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Title" w:uiPriority="10" w:qFormat="1"/>
    <w:lsdException w:name="macro" w:semiHidden="1" w:unhideWhenUsed="1"/>
    <w:lsdException w:name="toc 2" w:uiPriority="39" w:semiHidden="1" w:unhideWhenUsed="1"/>
    <w:lsdException w:name="Message Header" w:semiHidden="1" w:unhideWhenUsed="1"/>
    <w:lsdException w:name="footer" w:semiHidden="1" w:unhideWhenUsed="1"/>
    <w:lsdException w:name="List 3" w:semiHidden="1" w:unhideWhenUsed="1"/>
    <w:lsdException w:name="Body Text Indent 2" w:semiHidden="1" w:unhideWhenUsed="1"/>
    <w:lsdException w:name="index 7" w:semiHidden="1" w:unhideWhenUsed="1"/>
    <w:lsdException w:name="List 2" w:semiHidden="1" w:unhideWhenUsed="1"/>
    <w:lsdException w:name="Body Text Indent 3" w:semiHidden="1" w:unhideWhenUsed="1"/>
    <w:lsdException w:name="List 5" w:semiHidden="1" w:unhideWhenUsed="1"/>
    <w:lsdException w:name="List Continue 5" w:semiHidden="1" w:unhideWhenUsed="1"/>
    <w:lsdException w:name="Date" w:semiHidden="1" w:unhideWhenUsed="1"/>
    <w:lsdException w:name="List 4" w:semiHidden="1" w:unhideWhenUsed="1"/>
    <w:lsdException w:name="endnote text" w:semiHidden="1" w:unhideWhenUsed="1"/>
    <w:lsdException w:name="toc 5" w:uiPriority="39" w:semiHidden="1" w:unhideWhenUsed="1"/>
    <w:lsdException w:name="index 2" w:semiHidden="1" w:unhideWhenUsed="1"/>
    <w:lsdException w:name="Normal Indent" w:semiHidden="1" w:unhideWhenUsed="1"/>
    <w:lsdException w:name="index 9" w:semiHidden="1" w:unhideWhenUsed="1"/>
    <w:lsdException w:name="List Bullet 4" w:semiHidden="1" w:unhideWhenUsed="1"/>
    <w:lsdException w:name="heading 2" w:uiPriority="9" w:semiHidden="1" w:unhideWhenUsed="1" w:qFormat="1"/>
    <w:lsdException w:name="Strong" w:uiPriority="22" w:qFormat="1"/>
    <w:lsdException w:name="Normal" w:uiPriority="0" w:qFormat="1"/>
    <w:lsdException w:name="Body Text" w:semiHidden="1" w:unhideWhenUsed="1"/>
    <w:lsdException w:name="table of authorities" w:semiHidden="1" w:unhideWhenUsed="1"/>
    <w:lsdException w:name="index heading" w:semiHidden="1" w:unhideWhenUsed="1"/>
    <w:lsdException w:name="Body Text Indent" w:semiHidden="1" w:unhideWhenUsed="1"/>
    <w:lsdException w:name="footnote text" w:semiHidden="1" w:unhideWhenUsed="1"/>
    <w:lsdException w:name="List Bullet 3" w:semiHidden="1" w:unhideWhenUsed="1"/>
    <w:lsdException w:name="List Number" w:semiHidden="1" w:unhideWhenUsed="1"/>
    <w:lsdException w:name="List Bullet" w:semiHidden="1" w:unhideWhenUsed="1"/>
    <w:lsdException w:name="Body Text First Indent 2" w:semiHidden="1" w:unhideWhenUsed="1"/>
    <w:lsdException w:name="envelope return" w:semiHidden="1" w:unhideWhenUsed="1"/>
    <w:lsdException w:name="heading 5" w:uiPriority="9" w:semiHidden="1" w:unhideWhenUsed="1" w:qFormat="1"/>
    <w:lsdException w:name="Subtitle" w:uiPriority="11" w:qFormat="1"/>
    <w:lsdException w:name="Body Text 3" w:semiHidden="1" w:unhideWhenUsed="1"/>
    <w:lsdException w:name="index 4" w:semiHidden="1" w:unhideWhenUsed="1"/>
    <w:lsdException w:name="List Continue 4" w:semiHidden="1" w:unhideWhenUsed="1"/>
    <w:lsdException w:name="footnote reference" w:semiHidden="1" w:unhideWhenUsed="1"/>
    <w:lsdException w:name="toc 7" w:uiPriority="39" w:semiHidden="1" w:unhideWhenUsed="1"/>
    <w:lsdException w:name="Note Heading" w:semiHidden="1" w:unhideWhenUsed="1"/>
    <w:lsdException w:name="annotation reference" w:semiHidden="1" w:unhideWhenUsed="1"/>
    <w:lsdException w:name="index 8" w:semiHidden="1" w:unhideWhenUsed="1"/>
    <w:lsdException w:name="toc 8" w:uiPriority="39" w:semiHidden="1" w:unhideWhenUsed="1"/>
    <w:lsdException w:name="toc 3" w:uiPriority="39" w:semiHidden="1" w:unhideWhenUsed="1"/>
    <w:lsdException w:name="Closing" w:semiHidden="1" w:unhideWhenUsed="1"/>
    <w:lsdException w:name="index 1" w:semiHidden="1" w:unhideWhenUsed="1"/>
    <w:lsdException w:name="caption" w:uiPriority="35" w:semiHidden="1" w:unhideWhenUsed="1" w:qFormat="1"/>
    <w:lsdException w:name="annotation text" w:semiHidden="1" w:unhideWhenUsed="1"/>
    <w:lsdException w:name="heading 7" w:uiPriority="9" w:semiHidden="1" w:unhideWhenUsed="1" w:qFormat="1"/>
    <w:lsdException w:name="List Number 3" w:semiHidden="1" w:unhideWhenUsed="1"/>
    <w:lsdException w:name="List Number 2" w:semiHidden="1" w:unhideWhenUsed="1"/>
    <w:lsdException w:name="heading 6" w:uiPriority="9" w:semiHidden="1" w:unhideWhenUsed="1" w:qFormat="1"/>
    <w:lsdException w:name="table of figures" w:semiHidden="1" w:unhideWhenUsed="1"/>
    <w:lsdException w:name="heading 1" w:uiPriority="9" w:qFormat="1"/>
    <w:lsdException w:name="Body Text First Indent" w:semiHidden="1" w:unhideWhenUsed="1"/>
    <w:lsdException w:name="Block Text" w:semiHidden="1" w:unhideWhenUsed="1"/>
    <w:lsdException w:name="Body Text 2" w:semiHidden="1" w:unhideWhenUsed="1"/>
    <w:lsdException w:name="toc 6" w:uiPriority="39" w:semiHidden="1" w:unhideWhenUsed="1"/>
    <w:lsdException w:name="toc 1" w:uiPriority="39" w:semiHidden="1" w:unhideWhenUsed="1"/>
    <w:lsdException w:name="page number" w:semiHidden="1" w:unhideWhenUsed="1"/>
    <w:lsdException w:name="List Continue 2" w:semiHidden="1" w:unhideWhenUsed="1"/>
    <w:lsdException w:name="index 3" w:semiHidden="1" w:unhideWhenUsed="1"/>
    <w:lsdException w:name="List" w:semiHidden="1" w:unhideWhenUsed="1"/>
    <w:lsdException w:name="index 6" w:semiHidden="1" w:unhideWhenUsed="1"/>
    <w:lsdException w:name="header" w:semiHidden="1" w:unhideWhenUsed="1"/>
    <w:lsdException w:name="Salutation" w:semiHidden="1" w:unhideWhenUsed="1"/>
    <w:lsdException w:name="List Continue 3" w:semiHidden="1" w:unhideWhenUsed="1"/>
    <w:lsdException w:name="FollowedHyperlink" w:semiHidden="1" w:unhideWhenUsed="1"/>
    <w:lsdException w:name="toc 9" w:uiPriority="39" w:semiHidden="1" w:unhideWhenUsed="1"/>
    <w:lsdException w:name="toa heading" w:semiHidden="1" w:unhideWhenUsed="1"/>
    <w:lsdException w:name="toc 4" w:uiPriority="39" w:semiHidden="1" w:unhideWhenUsed="1"/>
  </w:latentStyles>
  <w:style w:type="paragraph" w:styleId="00000c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2026-10-30T15:13:49Z</dcterms:created>
  <dcterms:modified xsi:type="dcterms:W3CDTF">2026-10-30T15:13:49Z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"01a18ba7ca507d53acadfcc70c04aea9", "ReservedCode1": "", "ContentPropagator": "00119111010856365494821B355", "PropagateID": "01a18ba7ca507d53acadfcc70c04aea9", "ReservedCode2": ""}}</vt:lpwstr>
  </property>
</Properties>
</file>