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192" w:line="384"/>
        <w:ind w:left="0" w:right="0"/>
        <w:jc w:val="left"/>
        <w:rPr>
          <w:color w:val="1565c0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pacing w:val="19"/>
          <w:sz w:val="28"/>
        </w:rPr>
        <w:t>技术方案分析 · 对应需求基线 V1.1</w:t>
      </w:r>
    </w:p>
    <w:p w14:paraId="00000002">
      <w:pPr>
        <w:spacing w:before="0" w:after="120" w:line="312"/>
        <w:ind w:left="0" w:right="0"/>
        <w:jc w:val="left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44"/>
        </w:rPr>
        <w:t>基金股票记账小程序技术方案</w:t>
      </w:r>
    </w:p>
    <w:p w14:paraId="00000003">
      <w:pPr>
        <w:spacing w:before="0" w:after="600" w:line="384"/>
        <w:ind w:left="0" w:right="0"/>
        <w:jc w:val="left"/>
        <w:rPr>
          <w:color w:val="616161"/>
        </w:rPr>
      </w:pPr>
      <w:r>
        <w:rPr>
          <w:rFonts w:hint="eastAsia" w:ascii="Microsoft YaHei" w:hAnsi="Microsoft YaHei" w:eastAsia="Microsoft YaHei" w:cs="Microsoft YaHei"/>
          <w:color w:val="616161"/>
          <w:sz w:val="22"/>
        </w:rPr>
        <w:t>"仓记" —— 微信小程序端的个人投资总账本，含批次重放计算引擎设计</w:t>
      </w:r>
    </w:p>
    <w:p w14:paraId="00000004">
      <w:pPr>
        <w:spacing w:before="0" w:after="0" w:line="384"/>
        <w:ind w:left="0" w:right="0"/>
        <w:jc w:val="left"/>
        <w:rPr>
          <w:color w:val="616161"/>
        </w:rPr>
      </w:pPr>
      <w:r>
        <w:rPr>
          <w:rFonts w:hint="eastAsia" w:ascii="Microsoft YaHei" w:hAnsi="Microsoft YaHei" w:eastAsia="Microsoft YaHei" w:cs="Microsoft YaHei"/>
          <w:color w:val="616161"/>
          <w:sz w:val="16"/>
        </w:rPr>
        <w:t>文档状态：评审稿 | 版本：V1.0 | 日期：2026 年 10 月 30 日</w:t>
      </w:r>
    </w:p>
    <w:p w14:paraId="00000005">
      <w:pPr>
        <w:spacing w:before="0" w:after="0" w:line="384"/>
        <w:ind w:left="0" w:right="0"/>
        <w:jc w:val="left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Microsoft YaHei" w:hAnsi="Microsoft YaHei" w:eastAsia="Microsoft YaHei" w:cs="Microsoft YaHei"/>
          <w:color w:val="616161"/>
          <w:sz w:val="16"/>
        </w:rPr>
        <w:t>适用读者：技术负责人、小程序前端、后端与测试工程师</w:t>
      </w:r>
    </w:p>
    <w:p w14:paraId="00000006">
      <w:pPr>
        <w:spacing w:before="240" w:after="120"/>
      </w:pPr>
      <w:r>
        <w:rPr>
          <w:rFonts w:hint="eastAsia"/>
          <w:b w:val="1"/>
        </w:rPr>
        <w:t>目录</w:t>
      </w:r>
    </w:p>
    <w:p w14:paraId="000000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 技术目标与约束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技术目标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关键约束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方案结论速览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分层架构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读写数据流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部署形态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 关键技术决策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决策一：计算位置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决策二：托管形态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决策三：批次标识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决策四：金额精度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"section-3-5" </w:instrText>
      </w:r>
      <w:r>
        <w:fldChar w:fldCharType="separate" w:fldLock="0" w:dirty="0"/>
      </w:r>
      <w:r>
        <w:rPr>
          <w:rFonts w:hint="eastAsia"/>
        </w:rPr>
        <w:t>3.5 决策五：持仓缓存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 核心模块设计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交易重放引擎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成本结转与盈亏计算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同步、离线与冲突处理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输入校验与异常交易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 数据模型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集合设计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索引与查询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批次为何不落库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 接口与云函数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访问方式选型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接口清单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 前端架构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目录与分层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状态与数据流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关键组件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 性能与容量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9 安全与合规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数据安全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审核与合规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 可观测性与发布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11 成本估算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12 技术风险与应对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13 演进路线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14 附录：不变量与测试用例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"section-14-1" </w:instrText>
      </w:r>
      <w:r>
        <w:fldChar w:fldCharType="separate" w:fldLock="0" w:dirty="0"/>
      </w:r>
      <w:r>
        <w:rPr>
          <w:rFonts w:hint="eastAsia"/>
        </w:rPr>
        <w:t>14.1 不变量清单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"section-14-2" </w:instrText>
      </w:r>
      <w:r>
        <w:fldChar w:fldCharType="separate" w:fldLock="0" w:dirty="0"/>
      </w:r>
      <w:r>
        <w:rPr>
          <w:rFonts w:hint="eastAsia"/>
        </w:rPr>
        <w:t>14.2 关键测试用例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section-14-2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30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31">
      <w:pPr>
        <w:pStyle w:val="000005"/>
        <w:keepNext w:val="1"/>
        <w:keepLines w:val="1"/>
        <w:pBdr>
          <w:left w:val="single" w:color="1565c0" w:sz="24" w:space="7"/>
        </w:pBdr>
        <w:shd w:val="clear" w:fill="f5f7fa"/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执行摘要</w:t>
      </w:r>
    </w:p>
    <w:p w14:paraId="00000032">
      <w:pPr>
        <w:pBdr>
          <w:left w:val="single" w:color="1565c0" w:sz="24"/>
        </w:pBdr>
        <w:shd w:val="clear" w:fill="f5f7fa"/>
        <w:spacing w:before="600" w:after="240" w:line="384"/>
        <w:ind w:left="0" w:right="0"/>
        <w:rPr>
          <w:color w:val="212121"/>
        </w:rPr>
      </w:pPr>
      <w:r>
        <w:rPr>
          <w:rFonts w:ascii="Microsoft YaHei" w:hAnsi="Microsoft YaHei" w:eastAsia="Microsoft YaHei" w:cs="Microsoft YaHei"/>
          <w:i w:val="1"/>
          <w:color w:val="616161"/>
          <w:sz w:val="16"/>
        </w:rPr>
        <w:t>Executive Summary</w:t>
      </w:r>
    </w:p>
    <w:p w14:paraId="00000033">
      <w:pPr>
        <w:pBdr>
          <w:left w:val="single" w:color="1565c0" w:sz="24"/>
        </w:pBdr>
        <w:shd w:val="clear" w:fill="f5f7fa"/>
        <w:spacing w:before="60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本方案面向一款"记录 + 统计 + 批次核算"的微信小程序。与常规记账工具不同，它的技术核心不是增删改查，而是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一套能正确重放交易并结转成本的确定性计算引擎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：同一组交易记录，无论重放多少次、在哪个端重放，结果必须完全一致。</w:t>
      </w:r>
    </w:p>
    <w:p w14:paraId="00000034">
      <w:pPr>
        <w:pBdr>
          <w:left w:val="single" w:color="1565c0" w:sz="24"/>
        </w:pBdr>
        <w:shd w:val="clear" w:fill="f5f7fa"/>
        <w:spacing w:before="60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方案给出五个关键决策：计算放在客户端本地重放（而非云端实时计算）；V1.0 采用微信云开发托管但以 Repository 抽象隔离；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批次 ID 直接用买入交易 ID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而非顺序号；金额一律以"分"为单位用整数运算；持仓用"快照 + 数据版本号"做缓存失效。</w:t>
      </w:r>
    </w:p>
    <w:p w14:paraId="00000035">
      <w:pPr>
        <w:pBdr>
          <w:left w:val="single" w:color="1565c0" w:sz="24"/>
        </w:pBdr>
        <w:shd w:val="clear" w:fill="f5f7fa"/>
        <w:spacing w:before="60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其中两项决策直接决定产品能否算对账：其一，批次标识若用顺序号，删除中间一笔买入会导致后续批次编号漂移、历史台账的批次引用全部错位；其二，需求文档中的盈亏公式若按字面实现，会把买入费用重复扣减两次。本方案第 4 章给出修正后的统一公式。</w:t>
      </w:r>
    </w:p>
    <w:p w14:paraId="00000036">
      <w:pPr>
        <w:pBdr>
          <w:left w:val="single" w:color="1565c0" w:sz="24"/>
        </w:pBdr>
        <w:shd w:val="clear" w:fill="f5f7fa"/>
        <w:spacing w:before="60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建议总工期 </w:t>
      </w:r>
      <w:r>
        <w:rPr>
          <w:rFonts w:hint="eastAsia" w:ascii="Microsoft YaHei" w:hAnsi="Microsoft YaHei" w:eastAsia="Microsoft YaHei" w:cs="Microsoft YaHei"/>
          <w:b w:val="1"/>
          <w:color w:val="c62828"/>
          <w:sz w:val="18"/>
        </w:rPr>
        <w:t>8 周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，其中计算引擎与同步机制占 3 周。技术上无不可控风险，主要风险集中在数据正确性与微信审核合规两点，均有明确应对手段。</w:t>
      </w:r>
    </w:p>
    <w:p w14:paraId="00000037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 技术目标与约束</w:t>
      </w:r>
      <w:bookmarkEnd w:id="1"/>
    </w:p>
    <w:p w14:paraId="00000038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本章界定技术方案要达成的量化目标，以及不可回避的平台约束，后续所有设计都在这个边界内做取舍。</w:t>
      </w:r>
    </w:p>
    <w:p w14:paraId="00000039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" w:name="section-1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1.1 技术目标</w:t>
      </w:r>
      <w:bookmarkEnd w:id="2"/>
    </w:p>
    <w:p w14:paraId="0000003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技术目标全部可验证，作为验收与压测依据。</w:t>
      </w:r>
    </w:p>
    <w:p w14:paraId="0000003B">
      <w:pPr>
        <w:jc w:val="center"/>
      </w:pPr>
      <w:r>
        <w:rPr>
          <w:rFonts w:hint="eastAsia"/>
          <w:color w:val="888888"/>
          <w:sz w:val="18"/>
        </w:rPr>
        <w:t>表 1-1 技术目标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维度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目标值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验证方式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计算正确性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任意交易序列重放结果满足第 14 章全部不变量，误差为 0 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属性测试随机生成 1 万组交易序列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首屏耗时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冷启动到持仓可见 ≤ 2 秒，热启动 ≤ 500 毫秒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真机埋点 P90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重放耗时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3,000 笔交易全量重放 ≤ 10 毫秒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低端安卓机实测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录入效率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单笔录入 ≤ 3 步，含批次指定的卖出 ≤ 5 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关键路径走查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容量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单用户 5 年约 3,000 笔交易，列表与统计无明显卡顿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构造数据压测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可维护性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一人可维护，主包体积 ≤ 1.5MB，无自建服务器运维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构建产物检查</w:t>
            </w:r>
          </w:p>
        </w:tc>
      </w:tr>
    </w:tbl>
    <w:p w14:paraId="00000051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3" w:name="section-1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1.2 关键约束</w:t>
      </w:r>
      <w:bookmarkEnd w:id="3"/>
    </w:p>
    <w:p w14:paraId="00000052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这些约束来自微信平台与合规要求，属于设计前提而非可协商项。</w:t>
      </w:r>
    </w:p>
    <w:p w14:paraId="00000053">
      <w:pPr>
        <w:jc w:val="center"/>
      </w:pPr>
      <w:r>
        <w:rPr>
          <w:rFonts w:hint="eastAsia"/>
          <w:color w:val="888888"/>
          <w:sz w:val="18"/>
        </w:rPr>
        <w:t>表 1-2 平台与业务约束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约束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具体限制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对设计的影响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包体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主包 2MB，分包合计 20MB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图表库、导出能力必须分包或放到云端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冷启动 1～3 秒，单次超时 20 秒，返回 1MB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不适合放在首屏关键路径；导出需异步任务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本地存储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 key 1MB，总计 10MB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3,000 笔交易约 540KB，可整体缓存，需分片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setData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单次数据量建议 ≤ 256KB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列表只传渲染字段，分页加载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合规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无金融牌照，不得提供投资建议与交易通道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不接行情推送、不做买卖信号、类目避开金融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人力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单人或双人开发，周期 8 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不引入重型框架与自建服务</w:t>
            </w:r>
          </w:p>
        </w:tc>
      </w:tr>
    </w:tbl>
    <w:p w14:paraId="00000069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4" w:name="section-1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1.3 方案结论速览</w:t>
      </w:r>
      <w:bookmarkEnd w:id="4"/>
    </w:p>
    <w:p w14:paraId="0000006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先给结论，后文逐条论证。这张表也是与产品、测试对齐技术口径的唯一入口。</w:t>
      </w:r>
    </w:p>
    <w:p w14:paraId="0000006B">
      <w:pPr>
        <w:jc w:val="center"/>
      </w:pPr>
      <w:r>
        <w:rPr>
          <w:rFonts w:hint="eastAsia"/>
          <w:color w:val="888888"/>
          <w:sz w:val="18"/>
        </w:rPr>
        <w:t>表 1-3 关键决策一览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决策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结论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主要理由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计算位置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客户端本地重放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数据量小、离线可用、无冷启动延迟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托管形态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云开发 + Repository 抽象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零运维起步，保留迁移能力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批次标识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买入交易 ID 作为批次主键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删除改单后引用不漂移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金额精度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整数"分"运算，不存单价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消除浮点误差与除不尽残差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持仓缓存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快照 + 数据版本号失效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避免增量更新产生脏数据</w:t>
            </w:r>
          </w:p>
        </w:tc>
      </w:tr>
    </w:tbl>
    <w:p w14:paraId="0000008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085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这五条中，D3 与 D4 属于"一旦做错后期极难补救"的类型，必须在编码前锁定，不能留到重构阶段再调整。</w:t>
            </w:r>
          </w:p>
        </w:tc>
      </w:tr>
    </w:tbl>
    <w:p w14:paraId="00000086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5" w:name="section-2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2 总体架构</w:t>
      </w:r>
      <w:bookmarkEnd w:id="5"/>
    </w:p>
    <w:p w14:paraId="00000087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本章给出分层结构与数据流向，说明一个"记一笔"动作从点击到落库、再到首页刷新的完整链路。</w:t>
      </w:r>
    </w:p>
    <w:p w14:paraId="00000088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6" w:name="section-2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2.1 分层架构</w:t>
      </w:r>
      <w:bookmarkEnd w:id="6"/>
    </w:p>
    <w:p w14:paraId="00000089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整体采用三层结构，核心思路是把"会算错的地方"收敛到一层纯函数里，让它可以被单独测试。</w:t>
      </w:r>
    </w:p>
    <w:p w14:paraId="0000008A">
      <w:pPr>
        <w:jc w:val="center"/>
      </w:pPr>
      <w:r>
        <w:rPr>
          <w:rFonts w:hint="eastAsia"/>
          <w:color w:val="888888"/>
          <w:sz w:val="18"/>
        </w:rPr>
        <w:t>表 2-1 分层职责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组成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职责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不做什么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表现层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页面（4 个 Tab + 7 个二级页）、通用组件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渲染、交互、表单校验提示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不做任何金额计算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领域层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重放引擎、成本结转、统计聚合、格式化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纯函数，输入交易数组，输出持仓与盈亏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不访问网络、不读写存储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Repository、同步队列、本地缓存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数据读写、离线队列、冲突解决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不关心业务口径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云数据库、安全规则、少量云函数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持久化、跨端同步、导出、数据修复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不做实时盈亏计算</w:t>
            </w:r>
          </w:p>
        </w:tc>
      </w:tr>
    </w:tbl>
    <w:p w14:paraId="0000009F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领域层之所以要求纯函数，是因为它是全产品最需要被反复验证的部分。纯函数意味着同样的输入必然得到同样的输出，可以用自动化测试批量覆盖，而不必在真机上手工点。</w:t>
      </w:r>
    </w:p>
    <w:p w14:paraId="000000A0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7" w:name="section-2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2.2 读写数据流</w:t>
      </w:r>
      <w:bookmarkEnd w:id="7"/>
    </w:p>
    <w:p w14:paraId="000000A1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写入与读取走两条不同的路径，这是本地优先架构的典型特征。</w:t>
      </w:r>
    </w:p>
    <w:p w14:paraId="000000A2">
      <w:pPr>
        <w:pStyle w:val="000007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color w:val="212121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20"/>
        </w:rPr>
        <w:t>写入链路（记一笔）</w:t>
      </w:r>
    </w:p>
    <w:p w14:paraId="000000A3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表单校验：金额格式、数量上限、批次分配合计是否等于卖出总量。</w:t>
      </w:r>
    </w:p>
    <w:p w14:paraId="000000A4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本地落库：写入本地交易表，标记 </w:t>
      </w:r>
      <w:r>
        <w:rPr>
          <w:rFonts w:ascii="Microsoft YaHei" w:hAnsi="Microsoft YaHei" w:eastAsia="Microsoft YaHei" w:cs="Microsoft YaHei"/>
          <w:b w:val="1"/>
          <w:color w:val="212121"/>
          <w:sz w:val="18"/>
        </w:rPr>
        <w:t>dirty = true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，立即返回成功并跳转回执页。</w:t>
      </w:r>
    </w:p>
    <w:p w14:paraId="000000A5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版本自增：本地数据版本号 +1，使当前快照失效。</w:t>
      </w:r>
    </w:p>
    <w:p w14:paraId="000000A6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后台同步：进入同步队列，有网即推送云端；云端返回服务端 ID 后回写本地。</w:t>
      </w:r>
    </w:p>
    <w:p w14:paraId="000000A7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失败处理：网络异常时保留 dirty 状态，下次启动或网络恢复时重试，用户无感知。</w:t>
      </w:r>
    </w:p>
    <w:p w14:paraId="000000A8">
      <w:pPr>
        <w:pStyle w:val="000007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color w:val="212121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20"/>
        </w:rPr>
        <w:t>读取链路（进首页）</w:t>
      </w:r>
    </w:p>
    <w:p w14:paraId="000000A9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读本地快照：若快照版本号等于当前数据版本号，直接渲染，耗时接近 0。</w:t>
      </w:r>
    </w:p>
    <w:p w14:paraId="000000AA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版本不符：从本地交易表全量重放，生成新快照并写回。</w:t>
      </w:r>
    </w:p>
    <w:p w14:paraId="000000AB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后台拉增量：按 </w:t>
      </w:r>
      <w:r>
        <w:rPr>
          <w:rFonts w:ascii="Microsoft YaHei" w:hAnsi="Microsoft YaHei" w:eastAsia="Microsoft YaHei" w:cs="Microsoft YaHei"/>
          <w:b w:val="1"/>
          <w:color w:val="212121"/>
          <w:sz w:val="18"/>
        </w:rPr>
        <w:t>updated_at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 拉取云端变更，合并后再次触发重放。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0AC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关键点：首屏从不等待网络。所有网络请求都在首屏渲染之后发起，这是达成"冷启动 2 秒"目标的前提。</w:t>
            </w:r>
          </w:p>
        </w:tc>
      </w:tr>
    </w:tbl>
    <w:p w14:paraId="000000AD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8" w:name="section-2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2.3 部署形态</w:t>
      </w:r>
      <w:bookmarkEnd w:id="8"/>
    </w:p>
    <w:p w14:paraId="000000AE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全部运行在微信生态内，无自有服务器，无域名备案，无运维值班。</w:t>
      </w:r>
    </w:p>
    <w:p w14:paraId="000000AF">
      <w:pPr>
        <w:jc w:val="center"/>
      </w:pPr>
      <w:r>
        <w:rPr>
          <w:rFonts w:hint="eastAsia"/>
          <w:color w:val="888888"/>
          <w:sz w:val="18"/>
        </w:rPr>
        <w:t>表 2-2 部署组成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组成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形态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客户端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微信小程序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原生框架，本地计算与缓存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云开发文档数据库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 openid 隔离，安全规则控制读写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Node.js 运行时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仅承担导出、统计重算、数据修复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文件存储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云存储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导出的 Excel 文件，7 天自动清理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定时任务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云函数定时触发器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每日清理回收站、生成使用统计</w:t>
            </w:r>
          </w:p>
        </w:tc>
      </w:tr>
    </w:tbl>
    <w:p w14:paraId="000000C2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9" w:name="section-3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3 关键技术决策</w:t>
      </w:r>
      <w:bookmarkEnd w:id="9"/>
    </w:p>
    <w:p w14:paraId="000000C3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本章逐条论证五个决策。每条给出候选方案、对比维度与最终结论，并说明放弃另一条路的具体代价，便于后续复盘。</w:t>
      </w:r>
    </w:p>
    <w:p w14:paraId="000000C4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0" w:name="section-3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3.1 决策一：计算位置</w:t>
      </w:r>
      <w:bookmarkEnd w:id="10"/>
    </w:p>
    <w:p w14:paraId="000000C5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持仓与盈亏在哪里算，是整个架构的分水岭。</w:t>
      </w:r>
    </w:p>
    <w:p w14:paraId="000000C6">
      <w:pPr>
        <w:jc w:val="center"/>
      </w:pPr>
      <w:r>
        <w:rPr>
          <w:rFonts w:hint="eastAsia"/>
          <w:color w:val="888888"/>
          <w:sz w:val="18"/>
        </w:rPr>
        <w:t>表 3-1 计算位置对比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方案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响应耗时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离线可用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成本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一致性风险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云端实时计算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200～800 毫秒，冷启动可达 3 秒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不可用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每次查询计费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云端预计算 + 读缓存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100～300 毫秒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不可用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写放大，每次录入触发重算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中，缓存失效逻辑复杂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16"/>
              </w:rPr>
              <w:t>客户端本地重放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4～10 毫秒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完全可用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低，算法单点维护</w:t>
            </w:r>
          </w:p>
        </w:tc>
      </w:tr>
    </w:tbl>
    <w:p w14:paraId="000000D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结论：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采用客户端本地重放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。决定性因素是数据量级——3,000 笔交易的全量重放只是三万次左右的整数加减运算，任何手机都能在 10 毫秒内跑完。在"算得快"这件事上，本地比任何网络方案都快两个数量级。</w:t>
      </w:r>
    </w:p>
    <w:p w14:paraId="000000D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放弃云端计算后需要承担一个新问题：算法只有一份，但运行在用户设备上，无法被服务端强制校验。应对办法是把领域层打成独立的 TypeScript 包，客户端与云函数引用同一份源码，保证两边行为完全一致；云端仅在做数据修复与导出时调用它做交叉校验。</w:t>
      </w:r>
    </w:p>
    <w:p w14:paraId="000000DD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1" w:name="section-3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3.2 决策二：托管形态</w:t>
      </w:r>
      <w:bookmarkEnd w:id="11"/>
    </w:p>
    <w:p w14:paraId="000000DE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后端选型要在"起步快"和"不被锁死"之间取平衡。</w:t>
      </w:r>
    </w:p>
    <w:p w14:paraId="000000DF">
      <w:pPr>
        <w:jc w:val="center"/>
      </w:pPr>
      <w:r>
        <w:rPr>
          <w:rFonts w:hint="eastAsia"/>
          <w:color w:val="888888"/>
          <w:sz w:val="18"/>
        </w:rPr>
        <w:t>表 3-2 托管形态对比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方案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初期成本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运维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冷启动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迁移难度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微信云开发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免费额度内 0 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无需运维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 1～3 秒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中，需重写数据访问层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自建 Node 服务 + 云数据库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约 60～200 元/月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需值班、备份、监控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Serverless 平台（如各云厂商函数计算）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按量计费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较轻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同云函数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低</w:t>
            </w:r>
          </w:p>
        </w:tc>
      </w:tr>
    </w:tbl>
    <w:p w14:paraId="000000F4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结论：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V1.0 使用微信云开发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，理由是零运维、与微信登录天然打通、免费额度足以支撑早期用户。为规避锁定，所有数据访问必须经过 Repository 接口，页面与领域层不得直接调用 </w:t>
      </w:r>
      <w:r>
        <w:rPr>
          <w:rFonts w:ascii="Microsoft YaHei" w:hAnsi="Microsoft YaHei" w:eastAsia="Microsoft YaHei" w:cs="Microsoft YaHei"/>
          <w:b w:val="1"/>
          <w:color w:val="212121"/>
          <w:sz w:val="18"/>
        </w:rPr>
        <w:t>wx.cloud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 接口。</w:t>
      </w:r>
    </w:p>
    <w:p w14:paraId="000000F5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Repository 只定义六个方法：按条件查交易、按 ID 写交易、软删除、拉增量、读写快照、读写账户与标的配置。将来迁移到自建服务时，只需替换这一个文件的实现，上层无改动。</w:t>
      </w:r>
    </w:p>
    <w:p w14:paraId="000000F6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2" w:name="section-3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3.3 决策三：批次标识</w:t>
      </w:r>
      <w:bookmarkEnd w:id="12"/>
    </w:p>
    <w:p w14:paraId="000000F7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这是本方案中最容易被低估、后果又最严重的一个决策。</w:t>
      </w:r>
    </w:p>
    <w:p w14:paraId="000000F8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批次（Lot）需要在卖出时被引用，因此必须有一个稳定标识。常见做法是给批次分配顺序号，如买入第一笔记为批次 1、第二笔记为批次 2。这个做法在"只增不改"的场景下没问题，但本产品允许用户随时编辑与删除历史交易。</w:t>
      </w:r>
    </w:p>
    <w:p w14:paraId="000000F9">
      <w:pPr>
        <w:jc w:val="center"/>
      </w:pPr>
      <w:r>
        <w:rPr>
          <w:rFonts w:hint="eastAsia"/>
          <w:color w:val="888888"/>
          <w:sz w:val="18"/>
        </w:rPr>
        <w:t>表 3-3 批次标识方案对比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方案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删除中间一笔买入后的表现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评价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顺序号（lot_001、lot_002）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后续批次编号整体前移，历史卖出记录中的"批次 2"指向了原本的批次 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引用错位，盈亏算错且难以察觉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独立 lots 集合 + 自增 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需保证交易与批次强一致，多端并发时易出现孤儿批次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引入不必要的一致性负担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16"/>
              </w:rPr>
              <w:t>买入交易 ID 作为批次 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引用天然稳定，被删除的批次 ID 失效后由校验逻辑捕获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无额外实体，无外键，幂等</w:t>
            </w:r>
          </w:p>
        </w:tc>
      </w:tr>
    </w:tbl>
    <w:p w14:paraId="00000106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结论：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lot_id 直接使用买入交易的唯一 ID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（客户端生成的 UUID）。这样批次不再是需要持久化的实体，而是交易记录的一个投影——由买入交易派生出数量与成本，由卖出交易的批次分配字段（allocations）反向扣减剩余量。</w:t>
      </w:r>
    </w:p>
    <w:p w14:paraId="00000107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由此推出一个与需求文档略有差异的实现结论：需求文档中规划的 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lots 集合可以不在物理层落库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。它的逻辑语义仍然存在（界面上的"批次流水"、卖出时的批次列表都需要它），但数据由重放实时派生，见 5.3 节论证。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108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若坚持使用顺序号，必须额外维护一张"编号映射表"，在每次删除或插入时批量重写，且要保证与其他端的映射一致。这本质上是用一个复杂机制去修补一个本可避免的设计缺陷，不建议采用。</w:t>
            </w:r>
          </w:p>
        </w:tc>
      </w:tr>
    </w:tbl>
    <w:p w14:paraId="00000109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3" w:name="section-3-4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3.4 决策四：金额精度</w:t>
      </w:r>
      <w:bookmarkEnd w:id="13"/>
    </w:p>
    <w:p w14:paraId="0000010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记账产品对金额误差零容忍，而 JavaScript 的浮点运算天然不精确：0.1 加 0.2 得到 0.30000000000000004。这类误差单笔看不出来，累计到上千笔就会出现"总资产比手工算多一分钱"的客服工单。</w:t>
      </w:r>
    </w:p>
    <w:p w14:paraId="0000010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结论：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所有金额以"分"为单位存为整数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，仅在渲染时除以 100 并格式化。同时确立一条硬规则：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不存储、不使用单价参与计算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。</w:t>
      </w:r>
    </w:p>
    <w:p w14:paraId="0000010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原因是加权成本若存单价（成本总额 ÷ 份额），除不尽时必然产生无限小数，后续用"单价 × 数量"反算总额就会累积误差。正确做法是只存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成本总额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与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份额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两个整数，需要单价时临时相除仅供展示。</w:t>
      </w:r>
    </w:p>
    <w:p w14:paraId="0000010D">
      <w:pPr>
        <w:jc w:val="center"/>
      </w:pPr>
      <w:r>
        <w:rPr>
          <w:rFonts w:hint="eastAsia"/>
          <w:color w:val="888888"/>
          <w:sz w:val="18"/>
        </w:rPr>
        <w:t>表 3-4 金额相关字段的存储口径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字段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存储形式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示例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成交金额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整数（分）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50.20 元 × 500 股 = 2510000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录入时由价格与数量相乘后取整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成交价格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整数（厘）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50.20 元记为 5020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仅用于展示与回填，不参与成本计算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费用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整数（分）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佣金 5.00 元记为 500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分项存储，汇总由加法得出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持仓成本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整数（分）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24,100.00 元记为 2410000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总额，非单价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份额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整数（份）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场外基金支持小数份额时以"千分之一份"存整数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与成本保持同量纲的整数运算</w:t>
            </w:r>
          </w:p>
        </w:tc>
      </w:tr>
    </w:tbl>
    <w:p w14:paraId="00000126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除法出现的唯一场合是卖出结转成本，用"按比例分摊、余数留底"处理：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127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结转成本 = round(成本总额 × 卖出份额 ÷ 总份额)；剩余成本 = 成本总额 − 结转成本。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18"/>
              </w:rPr>
              <w:t>务必用减法求剩余，而不是再算一次除法</w:t>
            </w: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，这样两者之和恒等于原总额，不会产生一分钱的漂移。</w:t>
            </w:r>
          </w:p>
        </w:tc>
      </w:tr>
    </w:tbl>
    <w:p w14:paraId="00000128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4" w:name="section-3-5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3.5 决策五：持仓缓存</w:t>
      </w:r>
      <w:bookmarkEnd w:id="14"/>
    </w:p>
    <w:p w14:paraId="00000129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每次进首页都全量重放虽然只要 10 毫秒，但配合列表渲染仍有优化空间，因此引入快照缓存。难点不在缓存本身，而在什么时候让它失效。</w:t>
      </w:r>
    </w:p>
    <w:p w14:paraId="0000012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结论：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快照携带数据版本号，版本不符即重算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。用户表维护一个自增字段 data_version，任何交易的新增、修改、删除都会令其加一；快照记录生成时的版本号，读取时比对，不相等就重放。</w:t>
      </w:r>
    </w:p>
    <w:p w14:paraId="0000012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不采用"增量更新持仓"的做法。原因是增量更新需要维护大量中间状态（某批次剩余量、持仓成本、已实现盈亏），任何一次漏改或顺序错乱都会留下永久脏数据，而用户完全无法察觉。全量重放虽然"笨"，但它是幂等的——同样的数据输入，永远得到同样的结果，删掉一笔再重放，等于这笔从未存在过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12C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这条原则可以概括为：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18"/>
              </w:rPr>
              <w:t>持仓是计算出来的，不是维护出来的</w:t>
            </w: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。所有"持仓表""批次余额表"都只是缓存，随时可以丢弃重建。</w:t>
            </w:r>
          </w:p>
        </w:tc>
      </w:tr>
    </w:tbl>
    <w:p w14:paraId="0000012D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15" w:name="section-4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4 核心模块设计</w:t>
      </w:r>
      <w:bookmarkEnd w:id="15"/>
    </w:p>
    <w:p w14:paraId="0000012E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本章是方案的重心，给出重放引擎的完整算法、两种成本口径的统一公式，以及同步与校验的处理方式。</w:t>
      </w:r>
    </w:p>
    <w:p w14:paraId="0000012F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6" w:name="section-4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4.1 交易重放引擎</w:t>
      </w:r>
      <w:bookmarkEnd w:id="16"/>
    </w:p>
    <w:p w14:paraId="00000130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引擎的输入是该用户的全部交易记录，输出是持仓、批次、已实现盈亏与统计汇总。它是纯函数，不依赖时间、随机数或外部状态。</w:t>
      </w:r>
    </w:p>
    <w:p w14:paraId="00000131">
      <w:pPr>
        <w:pStyle w:val="000007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color w:val="212121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20"/>
        </w:rPr>
        <w:t>输入与输出</w:t>
      </w:r>
    </w:p>
    <w:p w14:paraId="00000132">
      <w:pPr>
        <w:jc w:val="center"/>
      </w:pPr>
      <w:r>
        <w:rPr>
          <w:rFonts w:hint="eastAsia"/>
          <w:color w:val="888888"/>
          <w:sz w:val="18"/>
        </w:rPr>
        <w:t>表 4-1 引擎签名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项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输入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交易数组（含方向、价格、数量、金额、费用、成交时间、批次分配、结转方法），以及标的的最新价与账户配置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输出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持仓数组（份额、成本总额、市值、浮动盈亏）、批次数组（买入价、总量、剩余量、已实现盈亏、状态）、已实现盈亏合计、费用汇总、异常标记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复杂度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O(n + m)，n 为交易数，m 为批次数，单次遍历完成</w:t>
            </w:r>
          </w:p>
        </w:tc>
      </w:tr>
    </w:tbl>
    <w:p w14:paraId="0000013B">
      <w:pPr>
        <w:pStyle w:val="000007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color w:val="212121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20"/>
        </w:rPr>
        <w:t>执行步骤</w:t>
      </w:r>
    </w:p>
    <w:p w14:paraId="0000013C">
      <w:pPr>
        <w:jc w:val="center"/>
      </w:pPr>
      <w:r>
        <w:rPr>
          <w:rFonts w:hint="eastAsia"/>
          <w:color w:val="888888"/>
          <w:sz w:val="18"/>
        </w:rPr>
        <w:t>表 4-2 重放流程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操作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要点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排序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按成交时间升序；同一时间戳按创建时间升序，保证顺序确定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过滤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剔除软删除记录，被删除的交易视为从未发生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买入处理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新建批次，记录 lot_id（即本交易 ID）、买入数量、成本总额（含买入费用）、剩余数量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卖出处理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按分配的批次逐个扣减剩余量；若未指定则按默认方法（先进先出或加权）自动扣减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盈亏结转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 4.2 节公式计算本笔已实现盈亏，累加到该批次与全局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异常捕获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剩余量为负、分配合计不等于卖出量时，标记该笔为异常并跳过盈亏累加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7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汇总输出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按标的聚合持仓，按最新价计算市值与浮动盈亏</w:t>
            </w:r>
          </w:p>
        </w:tc>
      </w:tr>
    </w:tbl>
    <w:p w14:paraId="00000155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排序的确定性至关重要。若两笔卖出发生在同一秒，而排序不稳定，两次重放可能得到不同的结转顺序，进而算出不同的已实现盈亏。因此时间字段必须精确到毫秒，并以创建时间作为第二排序键。</w:t>
      </w:r>
    </w:p>
    <w:p w14:paraId="00000156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7" w:name="section-4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4.2 成本结转与盈亏计算</w:t>
      </w:r>
      <w:bookmarkEnd w:id="17"/>
    </w:p>
    <w:p w14:paraId="00000157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需求文档同时描述了加权平均与指定批次两种口径，这里给出可直接编码的统一公式，并修正其中一处会导致重复扣费的表述。</w:t>
      </w:r>
    </w:p>
    <w:p w14:paraId="00000158">
      <w:pPr>
        <w:pStyle w:val="000007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color w:val="212121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20"/>
        </w:rPr>
        <w:t>成本基数的定义</w:t>
      </w:r>
    </w:p>
    <w:p w14:paraId="00000159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本方案统一规定：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批次的成本总额已包含该笔买入的全部费用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。买入 500 股、成交额 24,100 元、佣金 5 元，则该批次成本总额记为 24,105 元（2,410,500 分）。</w:t>
      </w:r>
    </w:p>
    <w:p w14:paraId="0000015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基于此定义，卖出时的已实现盈亏只有三项，不再单独扣减买入费用：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15B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已实现盈亏 = 卖出成交额 − 结转成本 − 卖出费用。其中结转成本已内含买入费用，若再次扣减买入费用，同一笔费用会被计算两次，导致盈亏系统性偏低。</w:t>
            </w:r>
          </w:p>
        </w:tc>
      </w:tr>
    </w:tbl>
    <w:p w14:paraId="0000015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需求文档 4.2.2 与 4.2.5 中的公式写作"减去卖出费用，再减去分摊的批次买入费用"，在成本基数不含买入费用的前提下才成立。本方案选择"成本含费"这一更简洁的基数定义，公式随之简化，实现时也不必再单独维护一份待分摊费用。</w:t>
      </w:r>
    </w:p>
    <w:p w14:paraId="0000015D">
      <w:pPr>
        <w:pStyle w:val="000007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color w:val="212121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20"/>
        </w:rPr>
        <w:t>加权平均法</w:t>
      </w:r>
    </w:p>
    <w:p w14:paraId="0000015E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适用于未指定批次的卖出。持仓维护两个累计变量：总份额与成本总额。卖出时的结转成本按比例分摊：</w:t>
      </w:r>
    </w:p>
    <w:p w14:paraId="0000015F">
      <w:pPr>
        <w:jc w:val="center"/>
      </w:pPr>
      <w:r>
        <w:rPr>
          <w:rFonts w:hint="eastAsia"/>
          <w:color w:val="888888"/>
          <w:sz w:val="18"/>
        </w:rPr>
        <w:t>表 4-3 加权平均结转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步骤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计算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结转成本 = round(成本总额 × 卖出份额 ÷ 当前总份额)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已实现盈亏 = 卖出成交额 − 结转成本 − 卖出费用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成本总额 = 成本总额 − 结转成本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总份额 = 总份额 − 卖出份额</w:t>
            </w:r>
          </w:p>
        </w:tc>
      </w:tr>
    </w:tbl>
    <w:p w14:paraId="0000016A">
      <w:pPr>
        <w:pStyle w:val="000007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color w:val="212121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20"/>
        </w:rPr>
        <w:t>指定批次法</w:t>
      </w:r>
    </w:p>
    <w:p w14:paraId="0000016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适用于做T 场景。一笔卖出可拆分到多个批次，每个批次按自身单位成本结转：</w:t>
      </w:r>
    </w:p>
    <w:p w14:paraId="0000016C">
      <w:pPr>
        <w:jc w:val="center"/>
      </w:pPr>
      <w:r>
        <w:rPr>
          <w:rFonts w:hint="eastAsia"/>
          <w:color w:val="888888"/>
          <w:sz w:val="18"/>
        </w:rPr>
        <w:t>表 4-4 指定批次结转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步骤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计算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对每个分配项：结转成本项 = round(该批次成本总额 × 分配数量 ÷ 该批次总量)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该批次剩余量 = 剩余量 − 分配数量；该批次剩余成本 = 成本总额 − 结转成本项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结转成本合计 = 各分配项之和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已实现盈亏 = 卖出成交额 − 结转成本合计 − 卖出费用</w:t>
            </w:r>
          </w:p>
        </w:tc>
      </w:tr>
    </w:tbl>
    <w:p w14:paraId="00000177">
      <w:pPr>
        <w:pStyle w:val="000007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color w:val="212121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20"/>
        </w:rPr>
        <w:t>一个必须说清的副作用</w:t>
      </w:r>
    </w:p>
    <w:p w14:paraId="00000178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当用户卖掉的恰好是成本最低的那一批时，剩余持仓的加权成本会上升。例如三批成本分别为 51.80、48.20、46.90，加权成本 48.53；卖掉 48.20 这批后，剩余两批的加权成本升至 49.86。这不是计算错误，而是"好货先出手"的必然结果，但会与券商 App 展示的成本不一致。</w:t>
      </w:r>
    </w:p>
    <w:p w14:paraId="00000179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产品侧已通过口径说明页与回执页的提示处理此问题（见 UI 设计稿第 05、09 屏）。技术上需要保证的是：切换口径时全量重放并覆盖快照，不保留两套结果并行，避免用户看到前后矛盾的数字。</w:t>
      </w:r>
    </w:p>
    <w:p w14:paraId="0000017A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8" w:name="section-4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4.3 同步、离线与冲突处理</w:t>
      </w:r>
      <w:bookmarkEnd w:id="18"/>
    </w:p>
    <w:p w14:paraId="0000017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本地优先架构必须回答三个问题：重复提交怎么办、多端同时改怎么办、离线记的账怎么合并。</w:t>
      </w:r>
    </w:p>
    <w:p w14:paraId="0000017C">
      <w:pPr>
        <w:jc w:val="center"/>
      </w:pPr>
      <w:r>
        <w:rPr>
          <w:rFonts w:hint="eastAsia"/>
          <w:color w:val="888888"/>
          <w:sz w:val="18"/>
        </w:rPr>
        <w:t>表 4-5 同步机制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问题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机制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重复提交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客户端 UUID 幂等键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每笔交易创建时生成 UUID，云端以（openid + UUID）唯一索引去重，重试不会产生两条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多端并发修改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乐观锁 rev 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写入时携带期望的 rev，服务端比对不符则拒绝，客户端提示"该记录已在其他设备修改"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离线录入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本地队列 + 指数退避重试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网络恢复、小程序启动、切前台三个时机触发重试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删除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软删除 deleted_at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回收站保留 30 天，重放时过滤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增量拉取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 updated_at 游标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分页拉取，每页 100 条，直到无更多</w:t>
            </w:r>
          </w:p>
        </w:tc>
      </w:tr>
    </w:tbl>
    <w:p w14:paraId="0000018F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冲突策略选择"人工确认"而非"自动合并"。记账数据没有合并语义——同一笔卖出被两台设备改成不同价格，任何自动取舍都可能违背用户意图，让用户自己决定更稳妥，也更容易被接受。</w:t>
      </w:r>
    </w:p>
    <w:p w14:paraId="00000190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9" w:name="section-4-4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4.4 输入校验与异常交易</w:t>
      </w:r>
      <w:bookmarkEnd w:id="19"/>
    </w:p>
    <w:p w14:paraId="00000191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校验分两层：录入时拦截明显错误，重放时兜住历史脏数据。</w:t>
      </w:r>
    </w:p>
    <w:p w14:paraId="00000192">
      <w:pPr>
        <w:jc w:val="center"/>
      </w:pPr>
      <w:r>
        <w:rPr>
          <w:rFonts w:hint="eastAsia"/>
          <w:color w:val="888888"/>
          <w:sz w:val="18"/>
        </w:rPr>
        <w:t>表 4-6 校验规则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场景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处理时机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处理方式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卖出数量超过可卖余额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录入时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输入框上限锁定，前端阻断，不允许保存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批次分配合计不等于卖出总量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录入时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保存按钮置灰，提示差额，提供"先进先出补齐"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单批次分配超过该批次剩余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录入时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步进器上限为剩余量，无法输入超量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价格或数量为零、负数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录入时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字段级报错，禁止保存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历史数据出现超卖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重放时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标记异常，该笔不计盈亏，标的详情页提示修复入口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成交时间晚于当前时间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重放时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允许（支持补录计划单），但在列表中标注"待确认"</w:t>
            </w:r>
          </w:p>
        </w:tc>
      </w:tr>
    </w:tbl>
    <w:p w14:paraId="000001A8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异常交易不阻断整体计算。一笔数据有问题，不应让整个首页白屏。引擎跳过异常笔、在输出中附带异常清单，由界面提示用户修复，这是记账产品的可用性底线。</w:t>
      </w:r>
    </w:p>
    <w:p w14:paraId="000001A9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0" w:name="section-5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5 数据模型</w:t>
      </w:r>
      <w:bookmarkEnd w:id="20"/>
    </w:p>
    <w:p w14:paraId="000001A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本章给出集合结构、索引设计与查询模式。数据模型的设计目标是让"拉全量交易"这一最高频操作足够便宜。</w:t>
      </w:r>
    </w:p>
    <w:p w14:paraId="000001AB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1" w:name="section-5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5.1 集合设计</w:t>
      </w:r>
      <w:bookmarkEnd w:id="21"/>
    </w:p>
    <w:p w14:paraId="000001A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共五个集合，字段设计遵循两条原则：金额一律整数分，业务口径字段（如结转方法、批次分配）与交易记录写在一起，不拆表。</w:t>
      </w:r>
    </w:p>
    <w:p w14:paraId="000001AD">
      <w:pPr>
        <w:jc w:val="center"/>
      </w:pPr>
      <w:r>
        <w:rPr>
          <w:rFonts w:hint="eastAsia"/>
          <w:color w:val="888888"/>
          <w:sz w:val="18"/>
        </w:rPr>
        <w:t>表 5-1 transactions（交易记录）核心字段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类型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云端主键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uuid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客户端幂等键，与 openid 组合唯一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user_id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openid，数据隔离依据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instrument_id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标的引用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account_id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账户引用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direction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buy / sell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price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成交价，单位厘（整数）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quantity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成交数量，整数（股或份的千分之一）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amount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成交金额，单位分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fee_items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array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费用分项 [{type, amount}]，amount 为分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fee_total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费用合计，单位分，冗余字段便于求和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method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auto_weighted / auto_fifo / specified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allocations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array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批次分配 [{lot_id, quantity}]，lot_id 为买入交易 ID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traded_at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成交时间，毫秒时间戳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note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备注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rev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乐观锁版本号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deleted_at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软删除时间戳，0 表示未删除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updated_at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最后修改时间，增量同步游标</w:t>
            </w:r>
          </w:p>
        </w:tc>
      </w:tr>
    </w:tbl>
    <w:p w14:paraId="000001E7">
      <w:pPr>
        <w:jc w:val="center"/>
      </w:pPr>
      <w:r>
        <w:rPr>
          <w:rFonts w:hint="eastAsia"/>
          <w:color w:val="888888"/>
          <w:sz w:val="18"/>
        </w:rPr>
        <w:t>表 5-2 其余集合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集合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关键字段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users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openid、nickname、default_method、data_version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data_version 是快照失效的唯一依据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accounts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user_id、name、fee_template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费率模板用于费用预估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instruments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user_id、code、name、type、market、last_price、price_updated_at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V1.0 的 last_price 由用户手动维护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snapshots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user_id、data_version、positions、lots、stats、computed_at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纯缓存，可随时删除重建</w:t>
            </w:r>
          </w:p>
        </w:tc>
      </w:tr>
    </w:tbl>
    <w:p w14:paraId="000001F7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2" w:name="section-5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5.2 索引与查询</w:t>
      </w:r>
      <w:bookmarkEnd w:id="22"/>
    </w:p>
    <w:p w14:paraId="000001F8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查询模式高度集中：90% 的读操作是"拉某用户未删除的全部交易"。索引围绕这一点设计。</w:t>
      </w:r>
    </w:p>
    <w:p w14:paraId="000001F9">
      <w:pPr>
        <w:jc w:val="center"/>
      </w:pPr>
      <w:r>
        <w:rPr>
          <w:rFonts w:hint="eastAsia"/>
          <w:color w:val="888888"/>
          <w:sz w:val="18"/>
        </w:rPr>
        <w:t>表 5-3 索引设计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集合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索引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transactions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 + deleted_at + traded_at（降序）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主查询：重放与流水列表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transactions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 + uuid（唯一）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幂等去重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transactions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user_id + updated_at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增量同步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instruments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 + code（唯一）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标的去重与查找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accounts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user_id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账户列表</w:t>
            </w:r>
          </w:p>
        </w:tc>
      </w:tr>
    </w:tbl>
    <w:p w14:paraId="0000020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注意文档数据库的复合索引顺序敏感：user_id 必须在最前，因为它是唯一的高选择性过滤条件。若把 deleted_at 放在首位，索引将退化为全表扫描。</w:t>
      </w:r>
    </w:p>
    <w:p w14:paraId="0000020D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3" w:name="section-5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5.3 批次为何不落库</w:t>
      </w:r>
      <w:bookmarkEnd w:id="23"/>
    </w:p>
    <w:p w14:paraId="0000020E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需求文档规划了独立的 lots 集合，本方案建议在物理层取消，理由有三条。</w:t>
      </w:r>
    </w:p>
    <w:p w14:paraId="0000020F">
      <w:pPr>
        <w:numPr>
          <w:ilvl w:val="0"/>
          <w:numId w:val="3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一致性成本高于收益。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批次完全由买入交易决定，一旦落库就产生两份真相，任何一次写入失败或并发冲突都会让两者不一致，而重放法天然只有一份真相。</w:t>
      </w:r>
    </w:p>
    <w:p w14:paraId="00000210">
      <w:pPr>
        <w:numPr>
          <w:ilvl w:val="0"/>
          <w:numId w:val="3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批次数量与交易数量同阶。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1,000 笔买入就是 1,000 个批次，落库后每次变更都要写两处，写放大一倍，且需要事务保证。</w:t>
      </w:r>
    </w:p>
    <w:p w14:paraId="00000211">
      <w:pPr>
        <w:numPr>
          <w:ilvl w:val="0"/>
          <w:numId w:val="3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查询需求可由快照满足。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唯一需要按批次查询的场景是"标的详情页的批次流水"，该结果已包含在快照中，无需独立集合。</w:t>
      </w:r>
    </w:p>
    <w:p w14:paraId="00000212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若后续数据量增长到单用户上万笔，重放耗时上升，可引入"批次 checkpoint"：以月为单位存储重放中间态，从最近 checkpoint 继续计算。这属于优化项，不影响当前设计，也不需要预先建表。</w:t>
      </w:r>
    </w:p>
    <w:p w14:paraId="00000213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4" w:name="section-6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6 接口与云函数</w:t>
      </w:r>
      <w:bookmarkEnd w:id="24"/>
    </w:p>
    <w:p w14:paraId="00000214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本章说明数据访问的通道选择与接口清单。核心思路是能直连就不写云函数。</w:t>
      </w:r>
    </w:p>
    <w:p w14:paraId="00000215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5" w:name="section-6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6.1 访问方式选型</w:t>
      </w:r>
      <w:bookmarkEnd w:id="25"/>
    </w:p>
    <w:p w14:paraId="00000216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小程序访问云开发有两条路：数据库直连（受安全规则约束）与云函数调用。后者的冷启动代价很高，应尽量少用。</w:t>
      </w:r>
    </w:p>
    <w:p w14:paraId="00000217">
      <w:pPr>
        <w:jc w:val="center"/>
      </w:pPr>
      <w:r>
        <w:rPr>
          <w:rFonts w:hint="eastAsia"/>
          <w:color w:val="888888"/>
          <w:sz w:val="18"/>
        </w:rPr>
        <w:t>表 6-1 通道选择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场景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1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通道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1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1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交易增删改查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1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数据库直连 + 安全规则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1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高频、结构简单，省去函数调用延迟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1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标的与账户配置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1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数据库直连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同上，数据量小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导出 Excel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需生成二进制文件并写入云存储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统计重算与数据校验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云函数（定时触发）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离线任务，可容忍冷启动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历史数据修复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需服务端权限批量改写</w:t>
            </w:r>
          </w:p>
        </w:tc>
      </w:tr>
    </w:tbl>
    <w:p w14:paraId="0000022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安全规则是整个方案的安全基石，写法应尽量收敛：交易表只允许读写 user_id 等于当前 openid 的文档，且不允许客户端修改 user_id 字段。</w:t>
      </w:r>
    </w:p>
    <w:p w14:paraId="0000022B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6" w:name="section-6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6.2 接口清单</w:t>
      </w:r>
      <w:bookmarkEnd w:id="26"/>
    </w:p>
    <w:p w14:paraId="0000022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直连部分由客户端直接调用数据库 SDK，此处只列云函数接口。</w:t>
      </w:r>
    </w:p>
    <w:p w14:paraId="0000022D">
      <w:pPr>
        <w:jc w:val="center"/>
      </w:pPr>
      <w:r>
        <w:rPr>
          <w:rFonts w:hint="eastAsia"/>
          <w:color w:val="888888"/>
          <w:sz w:val="18"/>
        </w:rPr>
        <w:t>表 6-2 云函数接口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接口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入参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出参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exportXlsx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user_id、区间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file_id、下载链接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异步生成三张工作表：交易明细、持仓快照、配置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recalcUser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user_id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校验报告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服务端重放并与快照比对，发现偏差即告警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repairData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user_id、策略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修复条数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处理超卖、批次悬空等历史脏数据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dailyCleanup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3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清理条数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定时触发，物理删除超过 30 天的软删除记录</w:t>
            </w:r>
          </w:p>
        </w:tc>
      </w:tr>
    </w:tbl>
    <w:p w14:paraId="00000242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recalcUser 的价值在于交叉校验：客户端算一遍、云端再算一遍，结果不一致说明有代码不一致或数据损坏，可第一时间发现。它不参与日常读路径，只在每日定时任务中对活跃用户抽样执行。</w:t>
      </w:r>
    </w:p>
    <w:p w14:paraId="00000243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7" w:name="section-7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7 前端架构</w:t>
      </w:r>
      <w:bookmarkEnd w:id="27"/>
    </w:p>
    <w:p w14:paraId="00000244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本章说明代码组织、状态管理与几个关键组件的技术实现要点。</w:t>
      </w:r>
    </w:p>
    <w:p w14:paraId="00000245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8" w:name="section-7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7.1 目录与分层</w:t>
      </w:r>
      <w:bookmarkEnd w:id="28"/>
    </w:p>
    <w:p w14:paraId="00000246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目录结构直接体现分层意图：domain 目录下的文件必须保持零依赖，可被单独引入测试。</w:t>
      </w:r>
    </w:p>
    <w:p w14:paraId="00000247">
      <w:pPr>
        <w:jc w:val="center"/>
      </w:pPr>
      <w:r>
        <w:rPr>
          <w:rFonts w:hint="eastAsia"/>
          <w:color w:val="888888"/>
          <w:sz w:val="18"/>
        </w:rPr>
        <w:t>表 7-1 目录结构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目录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依赖约束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pages/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4 个 Tab 页 + 7 个二级页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可依赖 components、services、domain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components/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4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金额输入、批次选择浮层、盈亏文本、空状态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仅依赖 domain 的格式化函数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domain/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replay.ts、pnl.ts、money.ts、stats.ts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16"/>
              </w:rPr>
              <w:t>零依赖</w:t>
            </w: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，不得引用 wx 全局对象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services/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repo.ts、sync.ts、queue.ts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依赖 domain，封装所有数据访问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store/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全局状态与订阅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持有快照与用户配置</w:t>
            </w:r>
          </w:p>
        </w:tc>
      </w:tr>
    </w:tbl>
    <w:p w14:paraId="0000025A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9" w:name="section-7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7.2 状态与数据流</w:t>
      </w:r>
      <w:bookmarkEnd w:id="29"/>
    </w:p>
    <w:p w14:paraId="0000025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不引入 Redux 类重型方案。页面所需数据高度集中（一份快照），用一个轻量 observable 加手动订阅即可，避免为状态管理付出学习与包体成本。</w:t>
      </w:r>
    </w:p>
    <w:p w14:paraId="0000025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数据流保持单向：页面触发动作 → services 写库 → 数据版本号自增 → store 重新计算快照 → 订阅者刷新。任何页面都不得直接修改快照对象，只能通过动作触发重算，这保证了"界面显示的数字一定来自最近一次重放"。</w:t>
      </w:r>
    </w:p>
    <w:p w14:paraId="0000025D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30" w:name="section-7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7.3 关键组件</w:t>
      </w:r>
      <w:bookmarkEnd w:id="30"/>
    </w:p>
    <w:p w14:paraId="0000025E">
      <w:pPr>
        <w:jc w:val="center"/>
      </w:pPr>
      <w:r>
        <w:rPr>
          <w:rFonts w:hint="eastAsia"/>
          <w:color w:val="888888"/>
          <w:sz w:val="18"/>
        </w:rPr>
        <w:t>表 7-3 组件实现要点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5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组件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技术要点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金额输入框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使用 input type="digit"，失焦时格式化为两位小数；内部始终保存整数分，显示与存储分离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批次选择浮层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半屏 cover-view，实时计算剩余分配额；数量步进器上限绑定批次剩余量，从源头消除超卖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盈亏文本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统一组件处理正负号、颜色（红涨绿跌）、千分位与零值展示，避免各页面各写一套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长列表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流水超过 200 条启用 recycle-view 虚拟列表，只渲染可视区</w:t>
            </w:r>
          </w:p>
        </w:tc>
      </w:tr>
    </w:tbl>
    <w:p w14:paraId="00000269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金额输入是本产品最容易出体验问题的组件。用户可能输入"50.2"、"50.20"、"50.205"三种形式，其中第三种应被限制为两位小数（价格允许三位时单独放宽）。建议统一在失焦时做一次规范化，而不是在输入过程中强行纠正光标位置。</w:t>
      </w:r>
    </w:p>
    <w:p w14:paraId="0000026A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31" w:name="section-8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8 性能与容量</w:t>
      </w:r>
      <w:bookmarkEnd w:id="31"/>
    </w:p>
    <w:p w14:paraId="0000026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本章给出性能目标对应的具体手段，以及容量增长时的应对预案。</w:t>
      </w:r>
    </w:p>
    <w:p w14:paraId="0000026C">
      <w:pPr>
        <w:jc w:val="center"/>
      </w:pPr>
      <w:r>
        <w:rPr>
          <w:rFonts w:hint="eastAsia"/>
          <w:color w:val="888888"/>
          <w:sz w:val="18"/>
        </w:rPr>
        <w:t>表 8-1 性能手段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指标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目标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6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手段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冷启动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≤ 2 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首屏用本地快照直出，网络请求延后；骨架屏占位；主包只保留必要页面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热启动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≤ 500 毫秒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快照常驻内存，版本未变不重算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重放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≤ 10 毫秒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单次遍历，整数运算，避免对象深拷贝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列表滚动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60 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分页 50 条，超过 200 条启用虚拟列表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setData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单次 ≤ 64KB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列表项只传渲染字段，格式化在 JS 侧完成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7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包体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主包 ≤ 1.5MB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图表库与导出逻辑放云端，P1 阶段再考虑分包引入</w:t>
            </w:r>
          </w:p>
        </w:tc>
      </w:tr>
    </w:tbl>
    <w:p w14:paraId="00000282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容量方面，单用户 3,000 笔交易约 540KB 本地数据，低于单 key 1MB 限制，可整包缓存。若未来支持多用户共用设备或数据量翻倍，需改为按月分片存储，并在重放时按分片拼接。</w:t>
      </w:r>
    </w:p>
    <w:p w14:paraId="00000283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需要特别提醒的是：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不要在主线程同步重放并立即 setData 大数组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。正确做法是先算出结果、在 JS 侧裁剪成渲染结构，再一次性 setData，避免触发多次渲染。</w:t>
      </w:r>
    </w:p>
    <w:p w14:paraId="00000284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32" w:name="section-9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9 安全与合规</w:t>
      </w:r>
      <w:bookmarkEnd w:id="32"/>
    </w:p>
    <w:p w14:paraId="00000285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记账数据属于个人财产信息，安全要求高于普通工具类应用；同时金融相关功能在微信审核中较为敏感，需提前规避。</w:t>
      </w:r>
    </w:p>
    <w:p w14:paraId="00000286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33" w:name="section-9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9.1 数据安全</w:t>
      </w:r>
      <w:bookmarkEnd w:id="33"/>
    </w:p>
    <w:p w14:paraId="00000287">
      <w:pPr>
        <w:jc w:val="center"/>
      </w:pPr>
      <w:r>
        <w:rPr>
          <w:rFonts w:hint="eastAsia"/>
          <w:color w:val="888888"/>
          <w:sz w:val="18"/>
        </w:rPr>
        <w:t>表 9-1 安全措施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层面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措施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传输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全程 HTTPS，小程序默认强制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存储隔离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安全规则限制读写 user_id 等于当前 openid，禁止跨用户访问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字段保护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8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user_id、created_at 不允许客户端改写，防止越权与伪造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删除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软删除 + 30 天回收站，物理删除由定时任务执行，避免误删不可恢复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本地缓存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退出登录时清空本地交易缓存与快照，防止换号后数据串用</w:t>
            </w:r>
          </w:p>
        </w:tc>
      </w:tr>
    </w:tbl>
    <w:p w14:paraId="00000294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34" w:name="section-9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9.2 审核与合规</w:t>
      </w:r>
      <w:bookmarkEnd w:id="34"/>
    </w:p>
    <w:p w14:paraId="00000295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类目选择是审核通过率的关键。本产品应选择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工具类目下的效率或记账子类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，不选择金融类目——金融类目通常要求提供金融资质证明，而本产品不涉及交易与资管，属于纯粹的个人记录工具。</w:t>
      </w:r>
    </w:p>
    <w:p w14:paraId="00000296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界面文案需避免三类表述：不出现"推荐""建议买入""最佳时机"等投资建议措辞；不展示任何形式的买卖信号或评级；行情数据若展示必须标注来源与免责声明。这些约束在需求文档第 5 章已定义，技术实现上体现为相关组件不提供此类字段的渲染能力。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297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首次启动必须弹出隐私政策并取得同意，且在小程序后台完成用户隐私保护指引配置。未配置隐私指引调用用户信息接口会被直接拒绝，这是最常见的审核驳回原因之一。</w:t>
            </w:r>
          </w:p>
        </w:tc>
      </w:tr>
    </w:tbl>
    <w:p w14:paraId="00000298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35" w:name="section-10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10 可观测性与发布</w:t>
      </w:r>
      <w:bookmarkEnd w:id="35"/>
    </w:p>
    <w:p w14:paraId="00000299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小程序没有服务器日志可看，必须主动埋点。目标是最少的数据回答三个问题：有多少人卡在录入、计算是否出错、同步是否失败。</w:t>
      </w:r>
    </w:p>
    <w:p w14:paraId="0000029A">
      <w:pPr>
        <w:jc w:val="center"/>
      </w:pPr>
      <w:r>
        <w:rPr>
          <w:rFonts w:hint="eastAsia"/>
          <w:color w:val="888888"/>
          <w:sz w:val="18"/>
        </w:rPr>
        <w:t>表 10-1 关键埋点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事件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采集内容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录入开始 / 完成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9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耗时、是否中途放弃、字段数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衡量录入漏斗转化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重放耗时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交易条数、耗时毫秒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提前发现性能退化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同步失败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错误码、重试次数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定位网络与权限问题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异地校验不一致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user_id 哈希、偏差字段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发现算法或数据损坏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异常交易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类型（超卖、批次悬空）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A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评估历史数据质量</w:t>
            </w:r>
          </w:p>
        </w:tc>
      </w:tr>
    </w:tbl>
    <w:p w14:paraId="000002AD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发布策略采用灰度：先提交体验版给 10 位真实用户使用两周，重点验证计算正确性；再发布正式版并开启 10% 灰度，观察错误率与崩溃率，稳定后全量。计算逻辑的改动必须经过全量回归测试，不允许随版本随手修改。</w:t>
      </w:r>
    </w:p>
    <w:p w14:paraId="000002AE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36" w:name="section-11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11 成本估算</w:t>
      </w:r>
      <w:bookmarkEnd w:id="36"/>
    </w:p>
    <w:p w14:paraId="000002AF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以微信云开发按量计费为基准估算，早期完全落在免费额度内。</w:t>
      </w:r>
    </w:p>
    <w:p w14:paraId="000002B0">
      <w:pPr>
        <w:jc w:val="center"/>
      </w:pPr>
      <w:r>
        <w:rPr>
          <w:rFonts w:hint="eastAsia"/>
          <w:color w:val="888888"/>
          <w:sz w:val="18"/>
        </w:rPr>
        <w:t>表 11-1 成本估算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资源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免费额度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1,000 日活用量估算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费用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数据库读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5 万次/天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约 1 万次/天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0 元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数据库写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3 万次/天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约 1,000 次/天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0 元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存储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2GB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B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约 200MB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0 元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4 万 GBs/月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导出与定时任务，占比很低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0 元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合计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16"/>
              </w:rPr>
              <w:t>0 元/月</w:t>
            </w:r>
          </w:p>
        </w:tc>
      </w:tr>
    </w:tbl>
    <w:p w14:paraId="000002C9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当日活达到 1 万时，数据库读次数会超出免费额度，按量计费预计 200～400 元/月。这个量级已经可以支撑订阅制或轻量广告的收入模型，成本不构成瓶颈。</w:t>
      </w:r>
    </w:p>
    <w:p w14:paraId="000002C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真正的成本在人力：8 周开发加上线后的持续维护，按单人投入折算约 1.5 人月。技术选型上省下的服务器费用，远不如减少运维时间带来的价值大——这也是选择云开发的核心理由。</w:t>
      </w:r>
    </w:p>
    <w:p w14:paraId="000002CB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37" w:name="section-12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12 技术风险与应对</w:t>
      </w:r>
      <w:bookmarkEnd w:id="37"/>
    </w:p>
    <w:p w14:paraId="000002C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按影响程度排序，前两项若不处理会直接导致产品不可用。</w:t>
      </w:r>
    </w:p>
    <w:p w14:paraId="000002CD">
      <w:pPr>
        <w:jc w:val="center"/>
      </w:pPr>
      <w:r>
        <w:rPr>
          <w:rFonts w:hint="eastAsia"/>
          <w:color w:val="888888"/>
          <w:sz w:val="18"/>
        </w:rPr>
        <w:t>表 12-1 风险清单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风险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C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影响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概率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应对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计算口径实现偏差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用户与券商对不上账，信任崩塌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统一费用基数定义；不变量测试；云端交叉校验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金额浮点误差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总资产累积偏差，出现分位差异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全链路整数分；禁用单价计算；保存前断言校验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多端同步冲突导致覆盖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用户记录丢失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UUID 幂等 + rev 乐观锁 + 人工确认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云开发能力受限或涨价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D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迁移成本上升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低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Repository 抽象隔离，数据访问单点替换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审核驳回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上线延期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类目选择、隐私指引配置、免责文案前置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历史脏数据无法修复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部分用户数据不可用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异常标记不阻断计算；提供修复云函数与人工兜底</w:t>
            </w:r>
          </w:p>
        </w:tc>
      </w:tr>
    </w:tbl>
    <w:p w14:paraId="000002E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前两项风险的共同点是"上线后难以通过打补丁解决"，因为一旦用户录入了大量数据，任何口径调整都需要全量重算并解释数字变化。因此必须在第一行业务代码之前确定并测试完毕。</w:t>
      </w:r>
    </w:p>
    <w:p w14:paraId="000002EB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38" w:name="section-13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13 演进路线</w:t>
      </w:r>
      <w:bookmarkEnd w:id="38"/>
    </w:p>
    <w:p w14:paraId="000002E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技术演进遵循"不破坏既有数据"的原则：任何新能力都应在现有交易模型上扩展，而非推翻重建。</w:t>
      </w:r>
    </w:p>
    <w:p w14:paraId="000002ED">
      <w:pPr>
        <w:jc w:val="center"/>
      </w:pPr>
      <w:r>
        <w:rPr>
          <w:rFonts w:hint="eastAsia"/>
          <w:color w:val="888888"/>
          <w:sz w:val="18"/>
        </w:rPr>
        <w:t>表 13-1 版本演进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版本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E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新增能力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技术改动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V1.0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记录、持仓、统计、批次指定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本地重放引擎、云开发同步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V1.1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行情自动获取、Excel 导出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增加定时云函数拉取行情并缓存；导出走云函数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V1.2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定投计划、分红与公司行动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交易表增加类型字段，重放引擎支持非买卖事件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V2.0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港美股、多币种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金额字段增加币种，引入汇率表，市值按基准币种折算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远期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做T 配对复盘、智能统计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F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复用重放数据，新增聚合层，不上报原始明细</w:t>
            </w:r>
          </w:p>
        </w:tc>
      </w:tr>
    </w:tbl>
    <w:p w14:paraId="00000300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多币种是唯一需要提前预留的扩展点：建议在 instruments 与 transactions 中现在就保留 currency 字段（默认人民币），避免 V2.0 时做数据迁移。</w:t>
      </w:r>
    </w:p>
    <w:p w14:paraId="00000301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39" w:name="section-14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14 附录：不变量与测试用例</w:t>
      </w:r>
      <w:bookmarkEnd w:id="39"/>
    </w:p>
    <w:p w14:paraId="00000302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本章列出重放引擎必须始终满足的不变量。它们是自动化测试的断言基础，也是排查线上问题时的第一诊断工具。</w:t>
      </w:r>
    </w:p>
    <w:p w14:paraId="00000303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40" w:name="section-14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14.1 不变量清单</w:t>
      </w:r>
      <w:bookmarkEnd w:id="40"/>
    </w:p>
    <w:p w14:paraId="00000304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份额守恒：累计买入份额 − 累计卖出份额 = 当前持仓份额。</w:t>
      </w:r>
    </w:p>
    <w:p w14:paraId="00000305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批次守恒：所有批次剩余量之和 = 该标的当前持仓份额。</w:t>
      </w:r>
    </w:p>
    <w:p w14:paraId="00000306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成本守恒：成本总额 = 各批次剩余成本之和，且任何时刻不为负。</w:t>
      </w:r>
    </w:p>
    <w:p w14:paraId="00000307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总额守恒：结转成本 + 剩余成本 = 原成本总额，误差为 0 分。</w:t>
      </w:r>
    </w:p>
    <w:p w14:paraId="00000308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删除幂等：删除任意一笔交易后重放，结果与"该笔从未存在"完全一致。</w:t>
      </w:r>
    </w:p>
    <w:p w14:paraId="00000309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顺序无关性：对同一毫秒内的多笔交易，多次重放结果稳定不变。</w:t>
      </w:r>
    </w:p>
    <w:p w14:paraId="0000030A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41" w:name="section-14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14.2 关键测试用例</w:t>
      </w:r>
      <w:bookmarkEnd w:id="41"/>
    </w:p>
    <w:p w14:paraId="0000030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以下用例覆盖最容易出错的六种情形，应作为每次发版前的必跑集。</w:t>
      </w:r>
    </w:p>
    <w:p w14:paraId="0000030C">
      <w:pPr>
        <w:jc w:val="center"/>
      </w:pPr>
      <w:r>
        <w:rPr>
          <w:rFonts w:hint="eastAsia"/>
          <w:color w:val="888888"/>
          <w:sz w:val="18"/>
        </w:rPr>
        <w:t>表 14-1 关键测试用例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0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用例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构造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0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预期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加权结转余数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3 股成本 100 分，卖出 1 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结转 33 分，剩余 67 分，合计仍为 100 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指定批次跨批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 300 股 = 批次 A 200 + 批次 B 100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结转成本为两批按比例之和，余数留各批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删除中间买入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三批买入后删中间一批，再卖出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批次引用不漂移，重放结果与从未买入一致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超卖阻断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 500 股时录入卖出 600 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前端阻断，无法保存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费用不重复扣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买入含费 5 元，卖出后再算盈亏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买入费用只影响成本，不在卖出时二次扣减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1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口径切换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2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同一组数据分别用两种口径计算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32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卖出总额一致，已实现盈亏与剩余成本不同</w:t>
            </w:r>
          </w:p>
        </w:tc>
      </w:tr>
    </w:tbl>
    <w:p w14:paraId="00000322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建议用属性测试（property-based testing）自动生成随机交易序列，对每一组序列校验上述六条不变量。这种方式能在几分钟内覆盖手工测试数月都写不完的组合，是计算引擎最划算的质量投入。</w:t>
      </w:r>
    </w:p>
    <w:p w14:paraId="00000323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本方案与《基金股票记账小程序需求文档 V1.1》《仓记 UI 设计稿 v1.0》构成完整的产品设计套件：需求定义做什么，设计稿定义长什么样，本方案定义怎么实现以及哪些地方必须做对。</w:t>
      </w:r>
    </w:p>
    <w:p w14:paraId="00000324"/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325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4">
    <w:abstractNumId w:val="2"/>
  </w:num>
  <w:num w:numId="1">
    <w:abstractNumId w:val="3"/>
  </w:num>
  <w:num w:numId="3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address" w:semiHidden="1" w:unhideWhenUsed="1"/>
    <w:lsdException w:name="heading 4" w:uiPriority="9" w:semiHidden="1" w:unhideWhenUsed="1" w:qFormat="1"/>
    <w:lsdException w:name="annotation reference" w:semiHidden="1" w:unhideWhenUsed="1"/>
    <w:lsdException w:name="heading 9" w:uiPriority="9" w:semiHidden="1" w:unhideWhenUsed="1" w:qFormat="1"/>
    <w:lsdException w:name="footer" w:semiHidden="1" w:unhideWhenUsed="1"/>
    <w:lsdException w:name="table of authorities" w:semiHidden="1" w:unhideWhenUsed="1"/>
    <w:lsdException w:name="index heading" w:semiHidden="1" w:unhideWhenUsed="1"/>
    <w:lsdException w:name="Body Text Indent" w:semiHidden="1" w:unhideWhenUsed="1"/>
    <w:lsdException w:name="toc 5" w:uiPriority="39" w:semiHidden="1" w:unhideWhenUsed="1"/>
    <w:lsdException w:name="heading 2" w:uiPriority="9" w:semiHidden="1" w:unhideWhenUsed="1" w:qFormat="1"/>
    <w:lsdException w:name="List Bullet 2" w:semiHidden="1" w:unhideWhenUsed="1"/>
    <w:lsdException w:name="List" w:semiHidden="1" w:unhideWhenUsed="1"/>
    <w:lsdException w:name="List Number 4" w:semiHidden="1" w:unhideWhenUsed="1"/>
    <w:lsdException w:name="List Continue 3" w:semiHidden="1" w:unhideWhenUsed="1"/>
    <w:lsdException w:name="List Bullet 4" w:semiHidden="1" w:unhideWhenUsed="1"/>
    <w:lsdException w:name="page number" w:semiHidden="1" w:unhideWhenUsed="1"/>
    <w:lsdException w:name="index 1" w:semiHidden="1" w:unhideWhenUsed="1"/>
    <w:lsdException w:name="index 6" w:semiHidden="1" w:unhideWhenUsed="1"/>
    <w:lsdException w:name="endnote text" w:semiHidden="1" w:unhideWhenUsed="1"/>
    <w:lsdException w:name="index 3" w:semiHidden="1" w:unhideWhenUsed="1"/>
    <w:lsdException w:name="Body Text 3" w:semiHidden="1" w:unhideWhenUsed="1"/>
    <w:lsdException w:name="heading 5" w:uiPriority="9" w:semiHidden="1" w:unhideWhenUsed="1" w:qFormat="1"/>
    <w:lsdException w:name="FollowedHyperlink" w:semiHidden="1" w:unhideWhenUsed="1"/>
    <w:lsdException w:name="Block Text" w:semiHidden="1" w:unhideWhenUsed="1"/>
    <w:lsdException w:name="Normal Indent" w:semiHidden="1" w:unhideWhenUsed="1"/>
    <w:lsdException w:name="List Number 3" w:semiHidden="1" w:unhideWhenUsed="1"/>
    <w:lsdException w:name="footnote reference" w:semiHidden="1" w:unhideWhenUsed="1"/>
    <w:lsdException w:name="List 4" w:semiHidden="1" w:unhideWhenUsed="1"/>
    <w:lsdException w:name="heading 6" w:uiPriority="9" w:semiHidden="1" w:unhideWhenUsed="1" w:qFormat="1"/>
    <w:lsdException w:name="Hyperlink" w:semiHidden="1" w:unhideWhenUsed="1"/>
    <w:lsdException w:name="Message Header" w:semiHidden="1" w:unhideWhenUsed="1"/>
    <w:lsdException w:name="envelope return" w:semiHidden="1" w:unhideWhenUsed="1"/>
    <w:lsdException w:name="Normal" w:uiPriority="0" w:qFormat="1"/>
    <w:lsdException w:name="List Bullet 3" w:semiHidden="1" w:unhideWhenUsed="1"/>
    <w:lsdException w:name="Default Paragraph Font" w:uiPriority="1" w:semiHidden="1" w:unhideWhenUsed="1"/>
    <w:lsdException w:name="index 5" w:semiHidden="1" w:unhideWhenUsed="1"/>
    <w:lsdException w:name="index 7" w:semiHidden="1" w:unhideWhenUsed="1"/>
    <w:lsdException w:name="caption" w:uiPriority="35" w:semiHidden="1" w:unhideWhenUsed="1" w:qFormat="1"/>
    <w:lsdException w:name="List Continue 2" w:semiHidden="1" w:unhideWhenUsed="1"/>
    <w:lsdException w:name="line number" w:semiHidden="1" w:unhideWhenUsed="1"/>
    <w:lsdException w:name="index 2" w:semiHidden="1" w:unhideWhenUsed="1"/>
    <w:lsdException w:name="List 2" w:semiHidden="1" w:unhideWhenUsed="1"/>
    <w:lsdException w:name="heading 1" w:uiPriority="9" w:qFormat="1"/>
    <w:lsdException w:name="List 5" w:semiHidden="1" w:unhideWhenUsed="1"/>
    <w:lsdException w:name="index 9" w:semiHidden="1" w:unhideWhenUsed="1"/>
    <w:lsdException w:name="index 4" w:semiHidden="1" w:unhideWhenUsed="1"/>
    <w:lsdException w:name="annotation text" w:semiHidden="1" w:unhideWhenUsed="1"/>
    <w:lsdException w:name="toc 7" w:uiPriority="39" w:semiHidden="1" w:unhideWhenUsed="1"/>
    <w:lsdException w:name="Title" w:uiPriority="10" w:qFormat="1"/>
    <w:lsdException w:name="Body Text 2" w:semiHidden="1" w:unhideWhenUsed="1"/>
    <w:lsdException w:name="table of figures" w:semiHidden="1" w:unhideWhenUsed="1"/>
    <w:lsdException w:name="toc 8" w:uiPriority="39" w:semiHidden="1" w:unhideWhenUsed="1"/>
    <w:lsdException w:name="index 8" w:semiHidden="1" w:unhideWhenUsed="1"/>
    <w:lsdException w:name="List Continue" w:semiHidden="1" w:unhideWhenUsed="1"/>
    <w:lsdException w:name="macro" w:semiHidden="1" w:unhideWhenUsed="1"/>
    <w:lsdException w:name="toc 3" w:uiPriority="39" w:semiHidden="1" w:unhideWhenUsed="1"/>
    <w:lsdException w:name="List Number" w:semiHidden="1" w:unhideWhenUsed="1"/>
    <w:lsdException w:name="List Continue 5" w:semiHidden="1" w:unhideWhenUsed="1"/>
    <w:lsdException w:name="toc 6" w:uiPriority="39" w:semiHidden="1" w:unhideWhenUsed="1"/>
    <w:lsdException w:name="toc 1" w:uiPriority="39" w:semiHidden="1" w:unhideWhenUsed="1"/>
    <w:lsdException w:name="heading 7" w:uiPriority="9" w:semiHidden="1" w:unhideWhenUsed="1" w:qFormat="1"/>
    <w:lsdException w:name="footnote text" w:semiHidden="1" w:unhideWhenUsed="1"/>
    <w:lsdException w:name="Salutation" w:semiHidden="1" w:unhideWhenUsed="1"/>
    <w:lsdException w:name="toc 4" w:uiPriority="39" w:semiHidden="1" w:unhideWhenUsed="1"/>
    <w:lsdException w:name="Body Text First Indent" w:semiHidden="1" w:unhideWhenUsed="1"/>
    <w:lsdException w:name="List Number 2" w:semiHidden="1" w:unhideWhenUsed="1"/>
    <w:lsdException w:name="toc 2" w:uiPriority="39" w:semiHidden="1" w:unhideWhenUsed="1"/>
    <w:lsdException w:name="Signature" w:semiHidden="1" w:unhideWhenUsed="1"/>
    <w:lsdException w:name="heading 8" w:uiPriority="9" w:semiHidden="1" w:unhideWhenUsed="1" w:qFormat="1"/>
    <w:lsdException w:name="toa heading" w:semiHidden="1" w:unhideWhenUsed="1"/>
    <w:lsdException w:name="Body Text Indent 3" w:semiHidden="1" w:unhideWhenUsed="1"/>
    <w:lsdException w:name="List Number 5" w:semiHidden="1" w:unhideWhenUsed="1"/>
    <w:lsdException w:name="Body Text" w:semiHidden="1" w:unhideWhenUsed="1"/>
    <w:lsdException w:name="header" w:semiHidden="1" w:unhideWhenUsed="1"/>
    <w:lsdException w:name="Subtitle" w:uiPriority="11" w:qFormat="1"/>
    <w:lsdException w:name="List Bullet" w:semiHidden="1" w:unhideWhenUsed="1"/>
    <w:lsdException w:name="List 3" w:semiHidden="1" w:unhideWhenUsed="1"/>
    <w:lsdException w:name="toc 9" w:uiPriority="39" w:semiHidden="1" w:unhideWhenUsed="1"/>
    <w:lsdException w:name="endnote reference" w:semiHidden="1" w:unhideWhenUsed="1"/>
    <w:lsdException w:name="Closing" w:semiHidden="1" w:unhideWhenUsed="1"/>
    <w:lsdException w:name="Strong" w:uiPriority="22" w:qFormat="1"/>
    <w:lsdException w:name="List Continue 4" w:semiHidden="1" w:unhideWhenUsed="1"/>
    <w:lsdException w:name="heading 3" w:uiPriority="9" w:semiHidden="1" w:unhideWhenUsed="1" w:qFormat="1"/>
    <w:lsdException w:name="Body Text Indent 2" w:semiHidden="1" w:unhideWhenUsed="1"/>
    <w:lsdException w:name="Date" w:semiHidden="1" w:unhideWhenUsed="1"/>
    <w:lsdException w:name="List Bullet 5" w:semiHidden="1" w:unhideWhenUsed="1"/>
    <w:lsdException w:name="Body Text First Indent 2" w:semiHidden="1" w:unhideWhenUsed="1"/>
    <w:lsdException w:name="Note Heading" w:semiHidden="1" w:unhideWhenUsed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7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2026-10-30T15:13:59Z</dcterms:created>
  <dcterms:modified xsi:type="dcterms:W3CDTF">2026-10-30T15:13:59Z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"01a18ba7ca507d53acadfcc70c04aea9", "ReservedCode1": "", "ContentPropagator": "00119111010856365494821B355", "PropagateID": "01a18ba7ca507d53acadfcc70c04aea9", "ReservedCode2": ""}}</vt:lpwstr>
  </property>
</Properties>
</file>