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AF9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A当前市值：6363 亿（2025年）</w:t>
      </w:r>
    </w:p>
    <w:p w14:paraId="6577B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动态市盈率：18</w:t>
      </w:r>
    </w:p>
    <w:p w14:paraId="3F544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合理市盈率（维持不变）：16 倍</w:t>
      </w:r>
    </w:p>
    <w:p w14:paraId="08F672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年利润增长率分别为：20%</w:t>
      </w:r>
    </w:p>
    <w:p w14:paraId="25A4F1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预测：未来5年（2025–2030）的市值</w:t>
      </w:r>
    </w:p>
    <w:p w14:paraId="26A626C6">
      <w:pPr>
        <w:rPr>
          <w:rFonts w:hint="eastAsia"/>
          <w:lang w:val="en-US" w:eastAsia="zh-CN"/>
        </w:rPr>
      </w:pPr>
    </w:p>
    <w:p w14:paraId="450E7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B当前市值：5260 亿（2025年）</w:t>
      </w:r>
    </w:p>
    <w:p w14:paraId="3CF31F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动态市盈率：13 倍</w:t>
      </w:r>
    </w:p>
    <w:p w14:paraId="734E3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合理市盈率：15 倍</w:t>
      </w:r>
    </w:p>
    <w:p w14:paraId="77FD1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年利润增长率分别为：17%</w:t>
      </w:r>
    </w:p>
    <w:p w14:paraId="34169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预测：未来5年（2025–2030）的市值</w:t>
      </w:r>
    </w:p>
    <w:p w14:paraId="1A2CF3FE">
      <w:pPr>
        <w:rPr>
          <w:rFonts w:hint="eastAsia"/>
          <w:lang w:val="en-US" w:eastAsia="zh-CN"/>
        </w:rPr>
      </w:pPr>
    </w:p>
    <w:p w14:paraId="6C2E2CC1">
      <w:pPr>
        <w:rPr>
          <w:rFonts w:hint="eastAsia"/>
          <w:lang w:val="en-US" w:eastAsia="zh-CN"/>
        </w:rPr>
      </w:pPr>
    </w:p>
    <w:p w14:paraId="5A5602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C当前市值：1400 亿（2025年）</w:t>
      </w:r>
    </w:p>
    <w:p w14:paraId="4B490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合理市盈率（维持不变）：30 倍</w:t>
      </w:r>
    </w:p>
    <w:p w14:paraId="5B8EE1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动态市盈率：41 倍</w:t>
      </w:r>
    </w:p>
    <w:p w14:paraId="38163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合理市盈率：35 倍</w:t>
      </w:r>
    </w:p>
    <w:p w14:paraId="0880B3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年利润增长率分别为：25%</w:t>
      </w:r>
    </w:p>
    <w:p w14:paraId="5EF432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预测：未来5年（2025–2030）的市值</w:t>
      </w:r>
    </w:p>
    <w:p w14:paraId="5FAF57C2">
      <w:pPr>
        <w:rPr>
          <w:rFonts w:hint="eastAsia"/>
          <w:lang w:val="en-US" w:eastAsia="zh-CN"/>
        </w:rPr>
      </w:pPr>
    </w:p>
    <w:p w14:paraId="2F0755B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45210"/>
            <wp:effectExtent l="0" t="0" r="571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61D7FA">
      <w:pPr>
        <w:rPr>
          <w:rFonts w:hint="eastAsia"/>
          <w:lang w:val="en-US" w:eastAsia="zh-CN"/>
        </w:rPr>
      </w:pPr>
    </w:p>
    <w:p w14:paraId="621B427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601899</w:t>
      </w:r>
    </w:p>
    <w:p w14:paraId="5699496A">
      <w:r>
        <w:drawing>
          <wp:inline distT="0" distB="0" distL="114300" distR="114300">
            <wp:extent cx="4159250" cy="33108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4B5C">
      <w:r>
        <w:drawing>
          <wp:inline distT="0" distB="0" distL="114300" distR="114300">
            <wp:extent cx="3989070" cy="302704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EF9F">
      <w:r>
        <w:drawing>
          <wp:inline distT="0" distB="0" distL="114300" distR="114300">
            <wp:extent cx="5270500" cy="2022475"/>
            <wp:effectExtent l="0" t="0" r="635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E6C5">
      <w:r>
        <w:drawing>
          <wp:inline distT="0" distB="0" distL="114300" distR="114300">
            <wp:extent cx="3992245" cy="419163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53DF">
      <w:r>
        <w:drawing>
          <wp:inline distT="0" distB="0" distL="114300" distR="114300">
            <wp:extent cx="3726180" cy="284226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F5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002463</w:t>
      </w:r>
    </w:p>
    <w:p w14:paraId="2C015B25">
      <w:r>
        <w:drawing>
          <wp:inline distT="0" distB="0" distL="114300" distR="114300">
            <wp:extent cx="3653790" cy="3795395"/>
            <wp:effectExtent l="0" t="0" r="3810" b="146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F564">
      <w:r>
        <w:drawing>
          <wp:inline distT="0" distB="0" distL="114300" distR="114300">
            <wp:extent cx="3446145" cy="2366010"/>
            <wp:effectExtent l="0" t="0" r="1905" b="152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EFEA"/>
    <w:p w14:paraId="6EF3FE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000333</w:t>
      </w:r>
    </w:p>
    <w:p w14:paraId="79692880">
      <w:r>
        <w:drawing>
          <wp:inline distT="0" distB="0" distL="114300" distR="114300">
            <wp:extent cx="3563620" cy="2969260"/>
            <wp:effectExtent l="0" t="0" r="17780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A05D">
      <w:r>
        <w:drawing>
          <wp:inline distT="0" distB="0" distL="114300" distR="114300">
            <wp:extent cx="3508375" cy="4065905"/>
            <wp:effectExtent l="0" t="0" r="15875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BBC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31590" cy="2767330"/>
            <wp:effectExtent l="0" t="0" r="1651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64771"/>
    <w:rsid w:val="0ACF355F"/>
    <w:rsid w:val="1199492A"/>
    <w:rsid w:val="17C33FAB"/>
    <w:rsid w:val="1F3758BD"/>
    <w:rsid w:val="20F8421E"/>
    <w:rsid w:val="224F6049"/>
    <w:rsid w:val="22C34341"/>
    <w:rsid w:val="32212E8D"/>
    <w:rsid w:val="3296737C"/>
    <w:rsid w:val="38F1355F"/>
    <w:rsid w:val="3EF0517C"/>
    <w:rsid w:val="43BD17FC"/>
    <w:rsid w:val="4FE96ABB"/>
    <w:rsid w:val="5D9A196D"/>
    <w:rsid w:val="5FC421A0"/>
    <w:rsid w:val="600F359C"/>
    <w:rsid w:val="701B0E19"/>
    <w:rsid w:val="71CB3629"/>
    <w:rsid w:val="72323CC5"/>
    <w:rsid w:val="74363F40"/>
    <w:rsid w:val="743948D5"/>
    <w:rsid w:val="786346A5"/>
    <w:rsid w:val="7A16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</Words>
  <Characters>12</Characters>
  <Lines>0</Lines>
  <Paragraphs>0</Paragraphs>
  <TotalTime>60</TotalTime>
  <ScaleCrop>false</ScaleCrop>
  <LinksUpToDate>false</LinksUpToDate>
  <CharactersWithSpaces>12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2025-10-29T03:01:00Z</dcterms:created>
  <dc:creator>ainstec</dc:creator>
  <cp:lastModifiedBy>沈耀强</cp:lastModifiedBy>
  <dcterms:modified xsi:type="dcterms:W3CDTF">2025-10-31T02:14:15Z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eyJoZGlkIjoiNGQ0YjA0MGQ4OWZlYWQ3ZjMxMWQ1NTc0N2Y3MTQ0YTAiLCJ1c2VySWQiOiI0MTQ3NTM0NDUifQ==</vt:lpwstr>
  </property>
  <property fmtid="{D5CDD505-2E9C-101B-9397-08002B2CF9AE}" pid="4" name="ICV">
    <vt:lpwstr>FE7F3835F48E4D1A943BCB93B9E56716_12</vt:lpwstr>
  </property>
</Properties>
</file>