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09C43">
      <w:pPr>
        <w:pStyle w:val="27"/>
        <w:jc w:val="center"/>
        <w:rPr>
          <w:rFonts w:hint="eastAsia" w:hAnsi="黑体" w:cs="黑体"/>
          <w:b w:val="0"/>
          <w:color w:val="000000"/>
          <w:sz w:val="36"/>
          <w:szCs w:val="36"/>
        </w:rPr>
      </w:pPr>
      <w:r>
        <w:rPr>
          <w:rFonts w:hint="eastAsia" w:hAnsi="黑体" w:cs="黑体"/>
          <w:b w:val="0"/>
          <w:color w:val="000000"/>
          <w:sz w:val="36"/>
          <w:szCs w:val="36"/>
        </w:rPr>
        <w:t>第十一届全国大学生生物医学工程创新设计竞赛</w:t>
      </w:r>
    </w:p>
    <w:p w14:paraId="6E77999E">
      <w:pPr>
        <w:pStyle w:val="27"/>
        <w:jc w:val="center"/>
        <w:rPr>
          <w:rFonts w:hint="eastAsia" w:hAnsi="黑体" w:cs="黑体"/>
          <w:b w:val="0"/>
          <w:color w:val="000000"/>
          <w:sz w:val="36"/>
          <w:szCs w:val="36"/>
        </w:rPr>
      </w:pPr>
      <w:r>
        <w:rPr>
          <w:rFonts w:hint="eastAsia" w:hAnsi="黑体" w:cs="黑体"/>
          <w:b w:val="0"/>
          <w:color w:val="000000"/>
          <w:sz w:val="36"/>
          <w:szCs w:val="36"/>
        </w:rPr>
        <w:t>预赛作品报告</w:t>
      </w:r>
    </w:p>
    <w:p w14:paraId="7D4D3629">
      <w:pPr>
        <w:jc w:val="center"/>
        <w:rPr>
          <w:rFonts w:eastAsia="黑体"/>
          <w:sz w:val="36"/>
        </w:rPr>
      </w:pPr>
    </w:p>
    <w:p w14:paraId="1623B52A">
      <w:pPr>
        <w:jc w:val="center"/>
        <w:rPr>
          <w:rFonts w:eastAsia="黑体"/>
          <w:sz w:val="44"/>
          <w:szCs w:val="44"/>
        </w:rPr>
      </w:pPr>
    </w:p>
    <w:p w14:paraId="72E9BFE1">
      <w:pPr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color w:val="000000"/>
          <w:kern w:val="0"/>
          <w:sz w:val="44"/>
          <w:szCs w:val="44"/>
          <w:lang w:val="en-US" w:eastAsia="zh-CN" w:bidi="ar"/>
        </w:rPr>
        <w:t>基于ECG的心律失常类健康预警系统</w:t>
      </w:r>
    </w:p>
    <w:p w14:paraId="0C7320B7">
      <w:pPr>
        <w:jc w:val="center"/>
      </w:pPr>
    </w:p>
    <w:p w14:paraId="37BAB744">
      <w:pPr>
        <w:jc w:val="center"/>
      </w:pPr>
    </w:p>
    <w:p w14:paraId="11157AAE">
      <w:pPr>
        <w:jc w:val="center"/>
      </w:pPr>
    </w:p>
    <w:p w14:paraId="001029ED">
      <w:pPr>
        <w:jc w:val="center"/>
      </w:pPr>
    </w:p>
    <w:p w14:paraId="07250BDE">
      <w:pPr>
        <w:jc w:val="center"/>
      </w:pPr>
    </w:p>
    <w:p w14:paraId="334501EB">
      <w:pPr>
        <w:jc w:val="center"/>
      </w:pPr>
    </w:p>
    <w:p w14:paraId="79675354">
      <w:pPr>
        <w:jc w:val="center"/>
      </w:pPr>
      <w:r>
        <w:rPr>
          <w:rFonts w:hint="eastAsia"/>
        </w:rPr>
        <w:drawing>
          <wp:inline distT="0" distB="0" distL="114300" distR="114300">
            <wp:extent cx="1208405" cy="1208405"/>
            <wp:effectExtent l="0" t="0" r="10795" b="10795"/>
            <wp:docPr id="1" name="图片 1" descr="3d2d539ee2d13ce94278bf441bf3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2d539ee2d13ce94278bf441bf33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840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 w14:paraId="0BF4A5AB">
      <w:pPr>
        <w:ind w:right="17"/>
        <w:rPr>
          <w:rFonts w:eastAsia="黑体"/>
          <w:sz w:val="32"/>
        </w:rPr>
      </w:pPr>
    </w:p>
    <w:p w14:paraId="4384572E">
      <w:pPr>
        <w:ind w:right="17" w:firstLine="2160"/>
        <w:rPr>
          <w:rFonts w:eastAsia="黑体"/>
          <w:sz w:val="32"/>
        </w:rPr>
      </w:pPr>
    </w:p>
    <w:p w14:paraId="4711532E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eastAsia="黑体"/>
          <w:bCs/>
          <w:sz w:val="32"/>
          <w:szCs w:val="32"/>
        </w:rPr>
        <w:t xml:space="preserve">作品ID号: </w:t>
      </w:r>
      <w:r>
        <w:rPr>
          <w:rFonts w:eastAsia="黑体"/>
          <w:sz w:val="32"/>
          <w:szCs w:val="32"/>
        </w:rPr>
        <w:t>XXXXX</w:t>
      </w:r>
    </w:p>
    <w:p w14:paraId="7EB0F2E2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hint="eastAsia" w:eastAsia="黑体"/>
          <w:bCs/>
          <w:sz w:val="32"/>
          <w:szCs w:val="32"/>
        </w:rPr>
        <w:t>参赛学生类型</w:t>
      </w:r>
      <w:r>
        <w:rPr>
          <w:rFonts w:eastAsia="黑体"/>
          <w:bCs/>
          <w:sz w:val="32"/>
          <w:szCs w:val="32"/>
        </w:rPr>
        <w:t>：本科</w:t>
      </w:r>
      <w:r>
        <w:rPr>
          <w:rFonts w:hint="eastAsia" w:eastAsia="黑体"/>
          <w:bCs/>
          <w:sz w:val="32"/>
          <w:szCs w:val="32"/>
        </w:rPr>
        <w:t>生</w:t>
      </w:r>
    </w:p>
    <w:p w14:paraId="7F3AAE91">
      <w:pPr>
        <w:wordWrap w:val="0"/>
        <w:ind w:left="1680" w:firstLine="420"/>
        <w:rPr>
          <w:rFonts w:hint="eastAsia" w:eastAsia="黑体"/>
          <w:bCs/>
          <w:sz w:val="32"/>
          <w:szCs w:val="32"/>
          <w:lang w:val="en-US" w:eastAsia="zh-CN"/>
        </w:rPr>
      </w:pPr>
      <w:r>
        <w:rPr>
          <w:rFonts w:hint="eastAsia" w:eastAsia="黑体"/>
          <w:bCs/>
          <w:sz w:val="32"/>
          <w:szCs w:val="32"/>
        </w:rPr>
        <w:t>参加赛道</w:t>
      </w:r>
      <w:r>
        <w:rPr>
          <w:rFonts w:eastAsia="黑体"/>
          <w:bCs/>
          <w:sz w:val="32"/>
          <w:szCs w:val="32"/>
        </w:rPr>
        <w:t>：</w:t>
      </w:r>
      <w:r>
        <w:rPr>
          <w:rFonts w:hint="eastAsia" w:eastAsia="黑体"/>
          <w:bCs/>
          <w:sz w:val="32"/>
          <w:szCs w:val="32"/>
          <w:lang w:val="en-US" w:eastAsia="zh-CN"/>
        </w:rPr>
        <w:t>心脑血管疾病诊疗</w:t>
      </w:r>
    </w:p>
    <w:p w14:paraId="1D3EA373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eastAsia="黑体"/>
          <w:bCs/>
          <w:sz w:val="32"/>
          <w:szCs w:val="32"/>
        </w:rPr>
        <w:t>组别：自选项目组</w:t>
      </w:r>
    </w:p>
    <w:p w14:paraId="0711317F">
      <w:pPr>
        <w:spacing w:before="240"/>
        <w:jc w:val="center"/>
        <w:rPr>
          <w:sz w:val="32"/>
          <w:szCs w:val="32"/>
        </w:rPr>
      </w:pPr>
      <w:r>
        <w:rPr>
          <w:rFonts w:eastAsia="黑体"/>
          <w:sz w:val="32"/>
          <w:szCs w:val="32"/>
        </w:rPr>
        <w:t>20</w:t>
      </w:r>
      <w:r>
        <w:rPr>
          <w:rFonts w:hint="eastAsia" w:eastAsia="黑体"/>
          <w:sz w:val="32"/>
          <w:szCs w:val="32"/>
          <w:lang w:val="en-US" w:eastAsia="zh-CN"/>
        </w:rPr>
        <w:t>26</w:t>
      </w:r>
      <w:r>
        <w:rPr>
          <w:rFonts w:eastAsia="黑体"/>
          <w:sz w:val="32"/>
          <w:szCs w:val="32"/>
        </w:rPr>
        <w:t>年</w:t>
      </w:r>
      <w:r>
        <w:rPr>
          <w:rFonts w:hint="eastAsia" w:eastAsia="黑体"/>
          <w:sz w:val="32"/>
          <w:szCs w:val="32"/>
          <w:lang w:val="en-US" w:eastAsia="zh-CN"/>
        </w:rPr>
        <w:t>4</w:t>
      </w:r>
      <w:r>
        <w:rPr>
          <w:rFonts w:eastAsia="黑体"/>
          <w:sz w:val="32"/>
          <w:szCs w:val="32"/>
        </w:rPr>
        <w:t>月</w:t>
      </w:r>
    </w:p>
    <w:p w14:paraId="39A489E3">
      <w:pPr>
        <w:wordWrap w:val="0"/>
        <w:spacing w:line="300" w:lineRule="auto"/>
      </w:pPr>
    </w:p>
    <w:p w14:paraId="75BB0F54">
      <w:pPr>
        <w:spacing w:line="400" w:lineRule="exact"/>
        <w:jc w:val="both"/>
        <w:rPr>
          <w:rFonts w:hint="eastAsia" w:ascii="黑体" w:eastAsia="黑体"/>
          <w:sz w:val="32"/>
        </w:rPr>
      </w:pPr>
    </w:p>
    <w:p w14:paraId="46195B27">
      <w:pPr>
        <w:spacing w:line="400" w:lineRule="exact"/>
        <w:jc w:val="both"/>
        <w:rPr>
          <w:rFonts w:hint="eastAsia" w:ascii="黑体" w:eastAsia="黑体"/>
          <w:sz w:val="32"/>
        </w:rPr>
      </w:pPr>
    </w:p>
    <w:p w14:paraId="2E96E244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eastAsia="黑体"/>
          <w:sz w:val="32"/>
        </w:rPr>
        <w:br w:type="page"/>
      </w:r>
      <w:r>
        <w:rPr>
          <w:rFonts w:hint="eastAsia" w:ascii="黑体" w:hAnsi="黑体" w:eastAsia="黑体"/>
          <w:sz w:val="32"/>
          <w:szCs w:val="32"/>
        </w:rPr>
        <w:t>内容完整性自查表</w:t>
      </w:r>
    </w:p>
    <w:p w14:paraId="6D730EE3">
      <w:pPr>
        <w:rPr>
          <w:rFonts w:hint="eastAsia" w:ascii="宋体" w:hAnsi="宋体"/>
          <w:sz w:val="24"/>
        </w:rPr>
      </w:pPr>
    </w:p>
    <w:p w14:paraId="720EFF8A">
      <w:pPr>
        <w:ind w:firstLine="482" w:firstLineChars="20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说明：</w:t>
      </w:r>
    </w:p>
    <w:p w14:paraId="446E52AF">
      <w:pPr>
        <w:numPr>
          <w:ilvl w:val="0"/>
          <w:numId w:val="1"/>
        </w:numPr>
        <w:ind w:firstLine="482" w:firstLineChars="20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命题组参赛作品请根据命题文件规定或要求的指标填写；</w:t>
      </w:r>
    </w:p>
    <w:p w14:paraId="5766DFA9">
      <w:pPr>
        <w:numPr>
          <w:ilvl w:val="0"/>
          <w:numId w:val="1"/>
        </w:numPr>
        <w:ind w:firstLine="482" w:firstLineChars="20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自选组参赛作品请根据实际参赛作品完成情况填写。</w:t>
      </w:r>
    </w:p>
    <w:p w14:paraId="209F394D">
      <w:pPr>
        <w:rPr>
          <w:rFonts w:hint="eastAsia" w:ascii="宋体" w:hAnsi="宋体"/>
          <w:sz w:val="24"/>
        </w:rPr>
      </w:pPr>
    </w:p>
    <w:tbl>
      <w:tblPr>
        <w:tblStyle w:val="17"/>
        <w:tblW w:w="83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2507"/>
        <w:gridCol w:w="2627"/>
        <w:gridCol w:w="1818"/>
      </w:tblGrid>
      <w:tr w14:paraId="35454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2" w:hRule="atLeast"/>
        </w:trPr>
        <w:tc>
          <w:tcPr>
            <w:tcW w:w="1382" w:type="dxa"/>
            <w:vAlign w:val="center"/>
          </w:tcPr>
          <w:p w14:paraId="17660FD3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 xml:space="preserve">完整性 </w:t>
            </w:r>
            <w:r>
              <w:rPr>
                <w:rFonts w:ascii="宋体" w:hAnsi="宋体"/>
                <w:b/>
                <w:bCs/>
                <w:sz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4"/>
              </w:rPr>
              <w:t>类别</w:t>
            </w:r>
          </w:p>
        </w:tc>
        <w:tc>
          <w:tcPr>
            <w:tcW w:w="2507" w:type="dxa"/>
            <w:vAlign w:val="center"/>
          </w:tcPr>
          <w:p w14:paraId="4179C4C1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任务或技术指标名称</w:t>
            </w:r>
          </w:p>
        </w:tc>
        <w:tc>
          <w:tcPr>
            <w:tcW w:w="2627" w:type="dxa"/>
            <w:vAlign w:val="center"/>
          </w:tcPr>
          <w:p w14:paraId="777DF54E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完成效果</w:t>
            </w:r>
          </w:p>
        </w:tc>
        <w:tc>
          <w:tcPr>
            <w:tcW w:w="1818" w:type="dxa"/>
            <w:vAlign w:val="center"/>
          </w:tcPr>
          <w:p w14:paraId="36389F55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 xml:space="preserve">呈现方式 </w:t>
            </w:r>
            <w:r>
              <w:rPr>
                <w:rFonts w:ascii="宋体" w:hAnsi="宋体"/>
                <w:b/>
                <w:bCs/>
                <w:sz w:val="24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24"/>
              </w:rPr>
              <w:t>（报告中的章节、页码，或者测试报告，或实物、视频等）</w:t>
            </w:r>
          </w:p>
        </w:tc>
      </w:tr>
      <w:tr w14:paraId="679C1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382" w:type="dxa"/>
            <w:vMerge w:val="restart"/>
            <w:vAlign w:val="center"/>
          </w:tcPr>
          <w:p w14:paraId="3E8A50CB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参赛作品任务或技术指标要求</w:t>
            </w:r>
          </w:p>
        </w:tc>
        <w:tc>
          <w:tcPr>
            <w:tcW w:w="2507" w:type="dxa"/>
            <w:vAlign w:val="center"/>
          </w:tcPr>
          <w:p w14:paraId="5B4A620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.</w:t>
            </w:r>
          </w:p>
        </w:tc>
        <w:tc>
          <w:tcPr>
            <w:tcW w:w="2627" w:type="dxa"/>
            <w:vAlign w:val="center"/>
          </w:tcPr>
          <w:p w14:paraId="4F9F57B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2EF42780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47642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vAlign w:val="center"/>
          </w:tcPr>
          <w:p w14:paraId="6A7F2F69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2C4ABB5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.</w:t>
            </w:r>
          </w:p>
        </w:tc>
        <w:tc>
          <w:tcPr>
            <w:tcW w:w="2627" w:type="dxa"/>
            <w:vAlign w:val="center"/>
          </w:tcPr>
          <w:p w14:paraId="4A01DD8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449C9DF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5C17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vAlign w:val="center"/>
          </w:tcPr>
          <w:p w14:paraId="68B3C5D5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53B97E6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2627" w:type="dxa"/>
            <w:vAlign w:val="center"/>
          </w:tcPr>
          <w:p w14:paraId="0E322EB3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36364C3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A526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382" w:type="dxa"/>
            <w:vMerge w:val="continue"/>
            <w:vAlign w:val="center"/>
          </w:tcPr>
          <w:p w14:paraId="10172834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636DFCB3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0D84468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269196C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1D7A4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382" w:type="dxa"/>
            <w:vMerge w:val="continue"/>
            <w:vAlign w:val="center"/>
          </w:tcPr>
          <w:p w14:paraId="056ACCD8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6D412B1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781F337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6007920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2D1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vAlign w:val="center"/>
          </w:tcPr>
          <w:p w14:paraId="776A171D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3C05B17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4176EF4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0AC6AC6C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B9B0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vAlign w:val="center"/>
          </w:tcPr>
          <w:p w14:paraId="36E02A22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50BD272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0393FAF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5F1033A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61C31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vAlign w:val="center"/>
          </w:tcPr>
          <w:p w14:paraId="549D6DBF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36880EEE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1CB1926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634B7B3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5348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382" w:type="dxa"/>
            <w:vMerge w:val="continue"/>
            <w:vAlign w:val="center"/>
          </w:tcPr>
          <w:p w14:paraId="155B81D1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728FECD0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167CE91E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5107D99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45E67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382" w:type="dxa"/>
            <w:vAlign w:val="center"/>
          </w:tcPr>
          <w:p w14:paraId="3BDEEFF8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其他</w:t>
            </w:r>
          </w:p>
        </w:tc>
        <w:tc>
          <w:tcPr>
            <w:tcW w:w="2507" w:type="dxa"/>
            <w:vAlign w:val="center"/>
          </w:tcPr>
          <w:p w14:paraId="72A8D68E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523C012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6304B025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</w:tbl>
    <w:p w14:paraId="13B89CD8">
      <w:pPr>
        <w:wordWrap w:val="0"/>
        <w:spacing w:line="300" w:lineRule="auto"/>
        <w:jc w:val="both"/>
        <w:sectPr>
          <w:headerReference r:id="rId3" w:type="first"/>
          <w:footerReference r:id="rId4" w:type="firs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27E563EE">
      <w:pPr>
        <w:spacing w:line="400" w:lineRule="exact"/>
        <w:jc w:val="both"/>
        <w:rPr>
          <w:rFonts w:hint="eastAsia" w:ascii="黑体" w:eastAsia="黑体"/>
          <w:sz w:val="32"/>
        </w:rPr>
      </w:pPr>
    </w:p>
    <w:p w14:paraId="2385DFF2">
      <w:pPr>
        <w:spacing w:line="400" w:lineRule="exact"/>
        <w:jc w:val="center"/>
        <w:rPr>
          <w:rFonts w:ascii="黑体" w:eastAsia="黑体"/>
          <w:sz w:val="32"/>
        </w:rPr>
      </w:pPr>
      <w:r>
        <w:rPr>
          <w:rFonts w:hint="eastAsia" w:ascii="黑体" w:eastAsia="黑体"/>
          <w:sz w:val="32"/>
        </w:rPr>
        <w:t>摘    要</w:t>
      </w:r>
    </w:p>
    <w:p w14:paraId="16261EB4">
      <w:pPr>
        <w:pStyle w:val="8"/>
        <w:spacing w:before="0" w:line="400" w:lineRule="exact"/>
        <w:ind w:firstLine="492"/>
        <w:rPr>
          <w:rFonts w:hint="eastAsia"/>
        </w:rPr>
      </w:pPr>
    </w:p>
    <w:p w14:paraId="507E4BED">
      <w:pPr>
        <w:pStyle w:val="13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针对可穿戴心电监测设备在长程预警与特异性方面存在的不足，本文提出一种基于单模态心电图（</w:t>
      </w:r>
      <w:r>
        <w:rPr>
          <w:rFonts w:hint="default" w:ascii="Times New Roman" w:hAnsi="Times New Roman" w:cs="Times New Roman"/>
        </w:rPr>
        <w:t>ECG</w:t>
      </w:r>
      <w:r>
        <w:rPr>
          <w:rFonts w:hint="eastAsia"/>
        </w:rPr>
        <w:t xml:space="preserve">）的心血管风险趋势预警方法。采用 </w:t>
      </w:r>
      <w:r>
        <w:rPr>
          <w:rFonts w:hint="default" w:ascii="Times New Roman" w:hAnsi="Times New Roman" w:cs="Times New Roman"/>
        </w:rPr>
        <w:t>MIT-BIH</w:t>
      </w:r>
      <w:r>
        <w:rPr>
          <w:rFonts w:hint="eastAsia"/>
        </w:rPr>
        <w:t>、</w:t>
      </w:r>
      <w:r>
        <w:rPr>
          <w:rFonts w:hint="default" w:ascii="Times New Roman" w:hAnsi="Times New Roman" w:cs="Times New Roman"/>
        </w:rPr>
        <w:t>PTB-XL</w:t>
      </w:r>
      <w:r>
        <w:rPr>
          <w:rFonts w:hint="eastAsia"/>
        </w:rPr>
        <w:t xml:space="preserve"> 及 </w:t>
      </w:r>
      <w:r>
        <w:rPr>
          <w:rFonts w:hint="default" w:ascii="Times New Roman" w:hAnsi="Times New Roman" w:cs="Times New Roman"/>
        </w:rPr>
        <w:t>PhysioNet</w:t>
      </w:r>
      <w:r>
        <w:rPr>
          <w:rFonts w:hint="eastAsia"/>
        </w:rPr>
        <w:t xml:space="preserve"> 公开数据集构建实验样本，设计了一种融合局部形态感知与长程时序依赖的混合深度学习模型；模型利用一维卷积提取瞬时波形畸变特征，结合时序卷积网络覆盖</w:t>
      </w:r>
      <w:r>
        <w:rPr>
          <w:rFonts w:hint="default" w:ascii="Times New Roman" w:hAnsi="Times New Roman" w:cs="Times New Roman"/>
        </w:rPr>
        <w:t>10</w:t>
      </w:r>
      <w:r>
        <w:rPr>
          <w:rFonts w:hint="eastAsia"/>
        </w:rPr>
        <w:t>分钟级演化规律，并引入动态重症加权损失函数与患者级隔离策略以提升泛化能力。实验结果表明，该方法可实现未来</w:t>
      </w:r>
      <w:r>
        <w:rPr>
          <w:rFonts w:hint="default" w:ascii="Times New Roman" w:hAnsi="Times New Roman" w:cs="Times New Roman"/>
        </w:rPr>
        <w:t>5 min</w:t>
      </w:r>
      <w:r>
        <w:rPr>
          <w:rFonts w:hint="eastAsia"/>
        </w:rPr>
        <w:t>内心血管风险的趋势预测，</w:t>
      </w:r>
      <w:r>
        <w:rPr>
          <w:rFonts w:hint="eastAsia"/>
          <w:lang w:val="en-US" w:eastAsia="zh-CN"/>
        </w:rPr>
        <w:t>进行前瞻预警，</w:t>
      </w:r>
      <w:r>
        <w:rPr>
          <w:rFonts w:hint="eastAsia"/>
        </w:rPr>
        <w:t>较传统方法提前</w:t>
      </w:r>
      <w:r>
        <w:rPr>
          <w:rFonts w:hint="default" w:ascii="Times New Roman" w:hAnsi="Times New Roman" w:cs="Times New Roman"/>
        </w:rPr>
        <w:t>30~60 s</w:t>
      </w:r>
      <w:r>
        <w:rPr>
          <w:rFonts w:hint="eastAsia"/>
        </w:rPr>
        <w:t xml:space="preserve"> 发出预警，在保障室颤、室速等恶性心律失常识别精度的同时，显著降低了误报率，为居家及院前心电监护提供了一种高可信度的技术方案。</w:t>
      </w:r>
    </w:p>
    <w:p w14:paraId="2CC4F124">
      <w:pPr>
        <w:pStyle w:val="13"/>
        <w:keepNext w:val="0"/>
        <w:keepLines w:val="0"/>
        <w:widowControl/>
        <w:suppressLineNumbers w:val="0"/>
      </w:pPr>
      <w:r>
        <w:rPr>
          <w:rStyle w:val="19"/>
          <w:rFonts w:hint="eastAsia" w:ascii="黑体" w:hAnsi="黑体" w:eastAsia="黑体" w:cs="黑体"/>
        </w:rPr>
        <w:t>关键词</w:t>
      </w:r>
      <w:r>
        <w:t xml:space="preserve">: </w:t>
      </w:r>
      <w:r>
        <w:rPr>
          <w:rFonts w:hint="eastAsia"/>
        </w:rPr>
        <w:t>心电图（</w:t>
      </w:r>
      <w:r>
        <w:rPr>
          <w:rFonts w:hint="default" w:ascii="Times New Roman" w:hAnsi="Times New Roman" w:cs="Times New Roman"/>
        </w:rPr>
        <w:t>ECG</w:t>
      </w:r>
      <w:r>
        <w:rPr>
          <w:rFonts w:hint="eastAsia"/>
        </w:rPr>
        <w:t>）</w:t>
      </w:r>
      <w:r>
        <w:t xml:space="preserve">, </w:t>
      </w:r>
      <w:r>
        <w:rPr>
          <w:rFonts w:hint="eastAsia"/>
        </w:rPr>
        <w:t>心血管疾病预警</w:t>
      </w:r>
      <w: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深度学习</w:t>
      </w:r>
      <w:r>
        <w:t>,</w:t>
      </w:r>
      <w:r>
        <w:rPr>
          <w:rFonts w:hint="eastAsia"/>
          <w:lang w:val="en-US" w:eastAsia="zh-CN"/>
        </w:rPr>
        <w:t xml:space="preserve"> 前瞻预警</w:t>
      </w:r>
    </w:p>
    <w:p w14:paraId="4EC08598">
      <w:pPr>
        <w:spacing w:line="400" w:lineRule="exact"/>
        <w:ind w:firstLine="518"/>
        <w:rPr>
          <w:rFonts w:hint="eastAsia" w:ascii="宋体" w:hAnsi="宋体"/>
          <w:sz w:val="24"/>
        </w:rPr>
      </w:pPr>
    </w:p>
    <w:p w14:paraId="00028CA7">
      <w:pPr>
        <w:spacing w:line="400" w:lineRule="exact"/>
        <w:rPr>
          <w:rFonts w:hint="eastAsia" w:ascii="宋体" w:hAnsi="宋体"/>
        </w:rPr>
      </w:pPr>
    </w:p>
    <w:p w14:paraId="39058979">
      <w:pPr>
        <w:spacing w:line="400" w:lineRule="exact"/>
      </w:pPr>
    </w:p>
    <w:p w14:paraId="7F249316">
      <w:pPr>
        <w:spacing w:line="400" w:lineRule="exact"/>
      </w:pPr>
    </w:p>
    <w:p w14:paraId="26853968">
      <w:pPr>
        <w:spacing w:line="400" w:lineRule="exact"/>
      </w:pPr>
    </w:p>
    <w:p w14:paraId="416D5E67">
      <w:pPr>
        <w:spacing w:line="400" w:lineRule="exact"/>
      </w:pPr>
    </w:p>
    <w:p w14:paraId="074B2222">
      <w:pPr>
        <w:spacing w:line="400" w:lineRule="exact"/>
      </w:pPr>
    </w:p>
    <w:p w14:paraId="0F15EFF7">
      <w:pPr>
        <w:spacing w:line="400" w:lineRule="exact"/>
      </w:pPr>
    </w:p>
    <w:p w14:paraId="79FED68E">
      <w:pPr>
        <w:spacing w:line="400" w:lineRule="exact"/>
      </w:pPr>
    </w:p>
    <w:p w14:paraId="5CE1716F">
      <w:pPr>
        <w:spacing w:line="400" w:lineRule="exact"/>
      </w:pPr>
    </w:p>
    <w:p w14:paraId="249895F9">
      <w:pPr>
        <w:spacing w:line="400" w:lineRule="exact"/>
      </w:pPr>
    </w:p>
    <w:p w14:paraId="4A38F3C5">
      <w:pPr>
        <w:spacing w:line="400" w:lineRule="exact"/>
      </w:pPr>
    </w:p>
    <w:p w14:paraId="4FFC7388">
      <w:pPr>
        <w:spacing w:line="400" w:lineRule="exact"/>
      </w:pPr>
    </w:p>
    <w:p w14:paraId="255CE17C">
      <w:pPr>
        <w:spacing w:line="400" w:lineRule="exact"/>
      </w:pPr>
    </w:p>
    <w:p w14:paraId="39E3EAFD">
      <w:pPr>
        <w:spacing w:line="400" w:lineRule="exact"/>
      </w:pPr>
    </w:p>
    <w:p w14:paraId="6D780D6D">
      <w:pPr>
        <w:spacing w:line="400" w:lineRule="exact"/>
      </w:pPr>
    </w:p>
    <w:p w14:paraId="5DE820A6">
      <w:pPr>
        <w:spacing w:line="400" w:lineRule="exact"/>
      </w:pPr>
    </w:p>
    <w:p w14:paraId="5A98571B">
      <w:pPr>
        <w:tabs>
          <w:tab w:val="left" w:pos="8239"/>
        </w:tabs>
        <w:spacing w:line="400" w:lineRule="exact"/>
        <w:jc w:val="center"/>
        <w:rPr>
          <w:rFonts w:hint="eastAsia" w:ascii="黑体" w:eastAsia="黑体"/>
          <w:b/>
          <w:sz w:val="32"/>
        </w:rPr>
      </w:pPr>
    </w:p>
    <w:p w14:paraId="7EE8264A">
      <w:pPr>
        <w:tabs>
          <w:tab w:val="left" w:pos="8239"/>
        </w:tabs>
        <w:spacing w:line="400" w:lineRule="exact"/>
        <w:jc w:val="center"/>
        <w:rPr>
          <w:rFonts w:hint="eastAsia" w:ascii="黑体" w:eastAsia="黑体"/>
          <w:b/>
          <w:sz w:val="32"/>
        </w:rPr>
      </w:pPr>
    </w:p>
    <w:p w14:paraId="6CD3DD31">
      <w:pPr>
        <w:tabs>
          <w:tab w:val="left" w:pos="8239"/>
        </w:tabs>
        <w:spacing w:line="400" w:lineRule="exact"/>
        <w:jc w:val="center"/>
        <w:rPr>
          <w:rFonts w:hint="eastAsia" w:ascii="黑体" w:eastAsia="黑体"/>
          <w:b/>
          <w:sz w:val="32"/>
        </w:rPr>
      </w:pPr>
    </w:p>
    <w:p w14:paraId="0EA52A70">
      <w:pPr>
        <w:tabs>
          <w:tab w:val="left" w:pos="8239"/>
        </w:tabs>
        <w:spacing w:line="400" w:lineRule="exact"/>
        <w:jc w:val="center"/>
        <w:rPr>
          <w:rFonts w:hint="eastAsia" w:ascii="黑体" w:eastAsia="黑体"/>
          <w:b/>
          <w:sz w:val="32"/>
        </w:rPr>
      </w:pPr>
    </w:p>
    <w:p w14:paraId="490DDAF6">
      <w:pPr>
        <w:tabs>
          <w:tab w:val="left" w:pos="8239"/>
        </w:tabs>
        <w:spacing w:line="400" w:lineRule="exact"/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目   录</w:t>
      </w:r>
    </w:p>
    <w:p w14:paraId="615655CB">
      <w:pPr>
        <w:tabs>
          <w:tab w:val="left" w:pos="8239"/>
        </w:tabs>
        <w:spacing w:line="400" w:lineRule="exact"/>
      </w:pPr>
    </w:p>
    <w:p w14:paraId="193BC018">
      <w:pPr>
        <w:tabs>
          <w:tab w:val="right" w:leader="dot" w:pos="8280"/>
        </w:tabs>
        <w:spacing w:line="400" w:lineRule="exact"/>
        <w:rPr>
          <w:rFonts w:hint="eastAsia" w:eastAsia="宋体"/>
          <w:b/>
          <w:sz w:val="28"/>
          <w:lang w:val="en-US" w:eastAsia="zh-CN"/>
        </w:rPr>
      </w:pPr>
      <w:r>
        <w:rPr>
          <w:rFonts w:hint="eastAsia" w:ascii="黑体" w:eastAsia="黑体"/>
          <w:sz w:val="28"/>
        </w:rPr>
        <w:t>摘要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2</w:t>
      </w:r>
    </w:p>
    <w:p w14:paraId="678D60E9">
      <w:pPr>
        <w:tabs>
          <w:tab w:val="right" w:leader="dot" w:pos="8280"/>
        </w:tabs>
        <w:spacing w:line="400" w:lineRule="exact"/>
        <w:rPr>
          <w:rFonts w:hint="eastAsia" w:eastAsia="宋体"/>
          <w:b/>
          <w:sz w:val="28"/>
          <w:lang w:val="en-US" w:eastAsia="zh-CN"/>
        </w:rPr>
      </w:pPr>
      <w:r>
        <w:rPr>
          <w:rFonts w:hint="eastAsia" w:ascii="黑体" w:eastAsia="黑体"/>
          <w:sz w:val="28"/>
        </w:rPr>
        <w:t>1</w:t>
      </w:r>
      <w:r>
        <w:rPr>
          <w:rFonts w:eastAsia="黑体"/>
          <w:sz w:val="28"/>
          <w:szCs w:val="28"/>
        </w:rPr>
        <w:t>作品概述</w:t>
      </w:r>
      <w:r>
        <w:rPr>
          <w:rFonts w:hint="eastAsia"/>
          <w:sz w:val="28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4</w:t>
      </w:r>
    </w:p>
    <w:p w14:paraId="4E7D46F8">
      <w:pPr>
        <w:tabs>
          <w:tab w:val="right" w:leader="dot" w:pos="8280"/>
        </w:tabs>
        <w:spacing w:line="400" w:lineRule="exact"/>
        <w:rPr>
          <w:rFonts w:hint="eastAsia" w:eastAsia="宋体"/>
          <w:lang w:val="en-US" w:eastAsia="zh-CN"/>
        </w:rPr>
      </w:pPr>
      <w:r>
        <w:rPr>
          <w:rFonts w:hint="eastAsia"/>
          <w:b/>
        </w:rPr>
        <w:t xml:space="preserve">  </w:t>
      </w:r>
      <w:r>
        <w:rPr>
          <w:rFonts w:hint="eastAsia" w:ascii="黑体" w:eastAsia="黑体"/>
        </w:rPr>
        <w:t xml:space="preserve">1.1 </w:t>
      </w:r>
      <w:r>
        <w:rPr>
          <w:rFonts w:eastAsia="黑体"/>
          <w:szCs w:val="21"/>
        </w:rPr>
        <w:t>背景及意义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4</w:t>
      </w:r>
    </w:p>
    <w:p w14:paraId="206B095B">
      <w:pPr>
        <w:tabs>
          <w:tab w:val="right" w:leader="dot" w:pos="8280"/>
        </w:tabs>
        <w:spacing w:line="400" w:lineRule="exact"/>
        <w:rPr>
          <w:rFonts w:hint="eastAsia" w:hAnsi="宋体" w:eastAsia="宋体"/>
          <w:bCs/>
          <w:lang w:val="en-US" w:eastAsia="zh-CN"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ascii="黑体" w:eastAsia="黑体"/>
        </w:rPr>
        <w:t xml:space="preserve">1.2 </w:t>
      </w:r>
      <w:r>
        <w:rPr>
          <w:rFonts w:eastAsia="黑体"/>
          <w:szCs w:val="21"/>
        </w:rPr>
        <w:t>研究基础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4</w:t>
      </w:r>
    </w:p>
    <w:p w14:paraId="6ECB5F59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 w:eastAsia="宋体"/>
          <w:bCs/>
          <w:lang w:val="en-US" w:eastAsia="zh-CN"/>
        </w:rPr>
      </w:pPr>
      <w:r>
        <w:rPr>
          <w:rFonts w:ascii="黑体" w:eastAsia="黑体"/>
        </w:rPr>
        <w:t>1.</w:t>
      </w:r>
      <w:r>
        <w:rPr>
          <w:rFonts w:hint="eastAsia" w:ascii="黑体" w:eastAsia="黑体"/>
        </w:rPr>
        <w:t>3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需求分析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5</w:t>
      </w:r>
    </w:p>
    <w:p w14:paraId="7AF18CAD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eastAsia="宋体"/>
          <w:b/>
          <w:lang w:val="en-US" w:eastAsia="zh-CN"/>
        </w:rPr>
      </w:pPr>
      <w:r>
        <w:rPr>
          <w:rFonts w:ascii="黑体" w:eastAsia="黑体"/>
        </w:rPr>
        <w:t>1.</w:t>
      </w:r>
      <w:r>
        <w:rPr>
          <w:rFonts w:hint="eastAsia" w:ascii="黑体" w:eastAsia="黑体"/>
        </w:rPr>
        <w:t>4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研究目标</w:t>
      </w:r>
      <w:r>
        <w:rPr>
          <w:rFonts w:hint="eastAsia" w:eastAsia="黑体"/>
          <w:szCs w:val="21"/>
          <w:lang w:val="en-US" w:eastAsia="zh-CN"/>
        </w:rPr>
        <w:t>及完成情况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5</w:t>
      </w:r>
    </w:p>
    <w:p w14:paraId="46353B3D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 xml:space="preserve">   </w:t>
      </w:r>
    </w:p>
    <w:p w14:paraId="39CC4247">
      <w:pPr>
        <w:tabs>
          <w:tab w:val="right" w:leader="dot" w:pos="8280"/>
        </w:tabs>
        <w:spacing w:line="400" w:lineRule="exact"/>
        <w:ind w:left="107" w:hanging="107"/>
        <w:rPr>
          <w:rFonts w:hint="eastAsia" w:hAnsi="宋体" w:eastAsia="宋体"/>
          <w:bCs/>
          <w:lang w:val="en-US" w:eastAsia="zh-CN"/>
        </w:rPr>
      </w:pPr>
      <w:r>
        <w:rPr>
          <w:rFonts w:hint="eastAsia" w:ascii="黑体" w:eastAsia="黑体"/>
          <w:sz w:val="28"/>
        </w:rPr>
        <w:t xml:space="preserve">2 </w:t>
      </w:r>
      <w:r>
        <w:rPr>
          <w:rFonts w:eastAsia="黑体"/>
          <w:sz w:val="28"/>
          <w:szCs w:val="28"/>
        </w:rPr>
        <w:t>作品方案设计及实现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6</w:t>
      </w:r>
    </w:p>
    <w:p w14:paraId="7D0BB356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 w:eastAsia="宋体"/>
          <w:bCs/>
          <w:lang w:val="en-US" w:eastAsia="zh-CN"/>
        </w:rPr>
      </w:pPr>
      <w:r>
        <w:rPr>
          <w:rFonts w:hint="eastAsia" w:ascii="黑体" w:eastAsia="黑体"/>
        </w:rPr>
        <w:t xml:space="preserve">2.1 </w:t>
      </w:r>
      <w:r>
        <w:rPr>
          <w:rFonts w:eastAsia="黑体"/>
          <w:szCs w:val="21"/>
        </w:rPr>
        <w:t>技术路线概述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6</w:t>
      </w:r>
    </w:p>
    <w:p w14:paraId="732F829B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 w:eastAsia="宋体"/>
          <w:bCs/>
          <w:lang w:val="en-US" w:eastAsia="zh-CN"/>
        </w:rPr>
      </w:pPr>
      <w:r>
        <w:rPr>
          <w:rFonts w:hint="eastAsia" w:ascii="黑体" w:eastAsia="黑体"/>
        </w:rPr>
        <w:t>2</w:t>
      </w:r>
      <w:r>
        <w:rPr>
          <w:rFonts w:ascii="黑体" w:eastAsia="黑体"/>
        </w:rPr>
        <w:t>.</w:t>
      </w:r>
      <w:r>
        <w:rPr>
          <w:rFonts w:hint="eastAsia" w:ascii="黑体" w:eastAsia="黑体"/>
        </w:rPr>
        <w:t>2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技术方案对比</w:t>
      </w:r>
      <w:r>
        <w:rPr>
          <w:rFonts w:hint="eastAsia"/>
          <w:sz w:val="28"/>
        </w:rPr>
        <w:tab/>
      </w:r>
      <w:r>
        <w:rPr>
          <w:rFonts w:hint="eastAsia" w:hAnsi="宋体"/>
          <w:bCs/>
          <w:lang w:val="en-US" w:eastAsia="zh-CN"/>
        </w:rPr>
        <w:t>6</w:t>
      </w:r>
    </w:p>
    <w:p w14:paraId="5BA85045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eastAsia="宋体"/>
          <w:b/>
          <w:lang w:val="en-US" w:eastAsia="zh-CN"/>
        </w:rPr>
      </w:pPr>
      <w:r>
        <w:rPr>
          <w:rFonts w:hint="eastAsia" w:ascii="黑体" w:eastAsia="黑体"/>
        </w:rPr>
        <w:t>2</w:t>
      </w:r>
      <w:r>
        <w:rPr>
          <w:rFonts w:ascii="黑体" w:eastAsia="黑体"/>
        </w:rPr>
        <w:t>.</w:t>
      </w:r>
      <w:r>
        <w:rPr>
          <w:rFonts w:hint="eastAsia" w:ascii="黑体" w:eastAsia="黑体"/>
        </w:rPr>
        <w:t>3</w:t>
      </w:r>
      <w:r>
        <w:rPr>
          <w:rFonts w:ascii="黑体" w:eastAsia="黑体"/>
        </w:rPr>
        <w:t xml:space="preserve"> </w:t>
      </w:r>
      <w:r>
        <w:rPr>
          <w:rFonts w:hint="eastAsia" w:ascii="黑体" w:hAnsi="黑体" w:eastAsia="黑体" w:cs="黑体"/>
          <w:szCs w:val="21"/>
        </w:rPr>
        <w:t>作品方案设计及实现过程</w:t>
      </w:r>
      <w:r>
        <w:rPr>
          <w:rFonts w:hint="eastAsia"/>
          <w:sz w:val="28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7</w:t>
      </w:r>
    </w:p>
    <w:p w14:paraId="6ACEDE10">
      <w:pPr>
        <w:tabs>
          <w:tab w:val="right" w:leader="dot" w:pos="8280"/>
        </w:tabs>
        <w:spacing w:line="400" w:lineRule="exact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    2.3.1 </w:t>
      </w:r>
      <w:r>
        <w:rPr>
          <w:rFonts w:hint="eastAsia" w:ascii="黑体" w:hAnsi="黑体" w:eastAsia="黑体" w:cs="黑体"/>
          <w:lang w:val="en-US" w:eastAsia="zh-CN"/>
        </w:rPr>
        <w:t>数据处理与流水线设计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7</w:t>
      </w:r>
    </w:p>
    <w:p w14:paraId="4CCBE4CE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2.3.2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>模型架构设计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7</w:t>
      </w:r>
    </w:p>
    <w:p w14:paraId="66A73C55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 w:eastAsia="黑体"/>
          <w:lang w:val="en-US" w:eastAsia="zh-CN"/>
        </w:rPr>
        <w:t xml:space="preserve">2.3.3 </w:t>
      </w:r>
      <w:r>
        <w:rPr>
          <w:rFonts w:hint="eastAsia" w:ascii="黑体" w:hAnsi="黑体" w:eastAsia="黑体" w:cs="黑体"/>
          <w:lang w:val="en-US" w:eastAsia="zh-CN"/>
        </w:rPr>
        <w:t>训练策略与策略博弈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7</w:t>
      </w:r>
    </w:p>
    <w:p w14:paraId="6E1B0C92">
      <w:pPr>
        <w:tabs>
          <w:tab w:val="right" w:leader="dot" w:pos="8280"/>
        </w:tabs>
        <w:spacing w:line="400" w:lineRule="exact"/>
        <w:ind w:firstLine="420"/>
        <w:rPr>
          <w:rFonts w:hint="eastAsia" w:hAnsi="宋体" w:eastAsia="宋体"/>
          <w:bCs/>
          <w:lang w:val="en-US" w:eastAsia="zh-CN"/>
        </w:rPr>
      </w:pPr>
      <w:r>
        <w:rPr>
          <w:rFonts w:hint="eastAsia" w:hAnsi="宋体"/>
          <w:bCs/>
          <w:lang w:val="en-US" w:eastAsia="zh-CN"/>
        </w:rPr>
        <w:t xml:space="preserve">2.3.4 </w:t>
      </w:r>
      <w:r>
        <w:rPr>
          <w:rFonts w:hint="eastAsia" w:ascii="黑体" w:hAnsi="黑体" w:eastAsia="黑体" w:cs="黑体"/>
          <w:bCs/>
          <w:lang w:val="en-US" w:eastAsia="zh-CN"/>
        </w:rPr>
        <w:t>系统原型实现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8</w:t>
      </w:r>
    </w:p>
    <w:p w14:paraId="2CDF1996">
      <w:pPr>
        <w:tabs>
          <w:tab w:val="right" w:leader="dot" w:pos="8280"/>
        </w:tabs>
        <w:spacing w:line="400" w:lineRule="exact"/>
        <w:ind w:firstLine="420"/>
        <w:rPr>
          <w:rFonts w:hint="default" w:hAnsi="宋体"/>
          <w:bCs/>
          <w:lang w:val="en-US" w:eastAsia="zh-CN"/>
        </w:rPr>
      </w:pPr>
    </w:p>
    <w:p w14:paraId="7AD49AB0">
      <w:pPr>
        <w:tabs>
          <w:tab w:val="right" w:leader="dot" w:pos="8280"/>
        </w:tabs>
        <w:spacing w:line="400" w:lineRule="exact"/>
        <w:ind w:left="107" w:hanging="107"/>
        <w:rPr>
          <w:rFonts w:hint="eastAsia" w:hAnsi="宋体" w:eastAsia="宋体"/>
          <w:bCs/>
          <w:sz w:val="21"/>
          <w:szCs w:val="21"/>
          <w:lang w:val="en-US" w:eastAsia="zh-CN"/>
        </w:rPr>
      </w:pPr>
      <w:r>
        <w:rPr>
          <w:rFonts w:hint="eastAsia" w:ascii="黑体" w:eastAsia="黑体"/>
          <w:sz w:val="28"/>
        </w:rPr>
        <w:t xml:space="preserve">3 </w:t>
      </w:r>
      <w:r>
        <w:rPr>
          <w:rFonts w:eastAsia="黑体"/>
          <w:sz w:val="28"/>
          <w:szCs w:val="28"/>
        </w:rPr>
        <w:t>作品</w:t>
      </w:r>
      <w:r>
        <w:rPr>
          <w:rFonts w:hint="eastAsia" w:ascii="黑体" w:hAnsi="黑体" w:eastAsia="黑体" w:cs="黑体"/>
          <w:sz w:val="28"/>
          <w:szCs w:val="28"/>
        </w:rPr>
        <w:t>测试方案及测试结果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8</w:t>
      </w:r>
    </w:p>
    <w:p w14:paraId="46E9F03A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 w:eastAsia="宋体"/>
          <w:bCs/>
          <w:lang w:val="en-US" w:eastAsia="zh-CN"/>
        </w:rPr>
      </w:pPr>
      <w:r>
        <w:rPr>
          <w:rFonts w:hint="eastAsia" w:ascii="黑体" w:eastAsia="黑体"/>
        </w:rPr>
        <w:t xml:space="preserve">3.1 </w:t>
      </w:r>
      <w:r>
        <w:rPr>
          <w:rFonts w:eastAsia="黑体"/>
          <w:szCs w:val="21"/>
        </w:rPr>
        <w:t>测试</w:t>
      </w:r>
      <w:r>
        <w:rPr>
          <w:rFonts w:hint="eastAsia" w:eastAsia="黑体"/>
          <w:szCs w:val="21"/>
        </w:rPr>
        <w:t>方案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8</w:t>
      </w:r>
    </w:p>
    <w:p w14:paraId="28FBEFC9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 w:eastAsia="宋体"/>
          <w:bCs/>
          <w:lang w:val="en-US" w:eastAsia="zh-CN"/>
        </w:rPr>
      </w:pPr>
      <w:r>
        <w:rPr>
          <w:rFonts w:hint="eastAsia" w:ascii="黑体" w:eastAsia="黑体"/>
        </w:rPr>
        <w:t>3</w:t>
      </w:r>
      <w:r>
        <w:rPr>
          <w:rFonts w:ascii="黑体" w:eastAsia="黑体"/>
        </w:rPr>
        <w:t>.</w:t>
      </w:r>
      <w:r>
        <w:rPr>
          <w:rFonts w:hint="eastAsia" w:ascii="黑体" w:eastAsia="黑体"/>
        </w:rPr>
        <w:t>2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</w:t>
      </w:r>
      <w:r>
        <w:rPr>
          <w:rFonts w:hint="eastAsia" w:eastAsia="黑体"/>
          <w:szCs w:val="21"/>
          <w:lang w:val="en-US" w:eastAsia="zh-CN"/>
        </w:rPr>
        <w:t>及</w:t>
      </w:r>
      <w:r>
        <w:rPr>
          <w:rFonts w:eastAsia="黑体"/>
          <w:szCs w:val="21"/>
        </w:rPr>
        <w:t>功能指标测试结果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8</w:t>
      </w:r>
    </w:p>
    <w:p w14:paraId="4D4062D5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 w:eastAsia="宋体"/>
          <w:bCs/>
          <w:lang w:val="en-US" w:eastAsia="zh-CN"/>
        </w:rPr>
      </w:pPr>
      <w:r>
        <w:rPr>
          <w:rFonts w:hint="eastAsia" w:ascii="黑体" w:eastAsia="黑体"/>
        </w:rPr>
        <w:t>3</w:t>
      </w:r>
      <w:r>
        <w:rPr>
          <w:rFonts w:ascii="黑体" w:eastAsia="黑体"/>
        </w:rPr>
        <w:t>.</w:t>
      </w:r>
      <w:r>
        <w:rPr>
          <w:rFonts w:hint="eastAsia" w:ascii="黑体" w:eastAsia="黑体"/>
        </w:rPr>
        <w:t>3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可行性说明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8</w:t>
      </w:r>
    </w:p>
    <w:p w14:paraId="25B81075">
      <w:pPr>
        <w:tabs>
          <w:tab w:val="right" w:leader="dot" w:pos="8280"/>
        </w:tabs>
        <w:spacing w:line="400" w:lineRule="exact"/>
        <w:rPr>
          <w:b/>
          <w:sz w:val="28"/>
        </w:rPr>
      </w:pPr>
    </w:p>
    <w:p w14:paraId="3CA62075">
      <w:pPr>
        <w:tabs>
          <w:tab w:val="right" w:leader="dot" w:pos="8280"/>
        </w:tabs>
        <w:spacing w:line="400" w:lineRule="exact"/>
        <w:rPr>
          <w:rFonts w:hint="eastAsia" w:eastAsia="宋体"/>
          <w:b/>
          <w:sz w:val="28"/>
          <w:lang w:val="en-US" w:eastAsia="zh-CN"/>
        </w:rPr>
      </w:pPr>
      <w:r>
        <w:rPr>
          <w:rFonts w:hint="eastAsia" w:ascii="黑体" w:eastAsia="黑体"/>
          <w:sz w:val="28"/>
        </w:rPr>
        <w:t xml:space="preserve">4 </w:t>
      </w:r>
      <w:r>
        <w:rPr>
          <w:rFonts w:eastAsia="黑体"/>
          <w:sz w:val="28"/>
          <w:szCs w:val="28"/>
        </w:rPr>
        <w:t>总结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9</w:t>
      </w:r>
    </w:p>
    <w:p w14:paraId="6168212A">
      <w:pPr>
        <w:tabs>
          <w:tab w:val="right" w:leader="dot" w:pos="8280"/>
        </w:tabs>
        <w:spacing w:line="400" w:lineRule="exact"/>
        <w:rPr>
          <w:rFonts w:hint="eastAsia" w:hAnsi="宋体" w:eastAsia="宋体"/>
          <w:bCs/>
          <w:lang w:val="en-US" w:eastAsia="zh-CN"/>
        </w:rPr>
      </w:pPr>
      <w:r>
        <w:rPr>
          <w:rFonts w:hint="eastAsia"/>
          <w:b/>
        </w:rPr>
        <w:t xml:space="preserve"> </w:t>
      </w:r>
      <w:r>
        <w:rPr>
          <w:rFonts w:hint="eastAsia" w:ascii="黑体" w:eastAsia="黑体"/>
        </w:rPr>
        <w:t xml:space="preserve"> 4.1 </w:t>
      </w:r>
      <w:r>
        <w:rPr>
          <w:rFonts w:eastAsia="黑体"/>
          <w:szCs w:val="21"/>
        </w:rPr>
        <w:t>作品展示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9</w:t>
      </w:r>
    </w:p>
    <w:p w14:paraId="7B397321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 w:eastAsia="宋体"/>
          <w:b/>
          <w:lang w:val="en-US" w:eastAsia="zh-CN"/>
        </w:rPr>
      </w:pPr>
      <w:r>
        <w:rPr>
          <w:rFonts w:hint="eastAsia" w:ascii="黑体" w:eastAsia="黑体"/>
        </w:rPr>
        <w:t xml:space="preserve">4.2 </w:t>
      </w:r>
      <w:r>
        <w:rPr>
          <w:rFonts w:hint="eastAsia" w:ascii="黑体" w:eastAsia="黑体"/>
          <w:lang w:val="en-US" w:eastAsia="zh-CN"/>
        </w:rPr>
        <w:t>项目特色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9</w:t>
      </w:r>
    </w:p>
    <w:p w14:paraId="4D9416E5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ascii="黑体" w:hAnsi="黑体" w:eastAsia="宋体" w:cs="黑体"/>
          <w:b w:val="0"/>
          <w:bCs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lang w:val="en-US" w:eastAsia="zh-CN"/>
        </w:rPr>
        <w:t>4.3 应用价值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9</w:t>
      </w:r>
    </w:p>
    <w:p w14:paraId="4B5FC138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 w:eastAsia="宋体"/>
          <w:bCs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lang w:val="en-US" w:eastAsia="zh-CN"/>
        </w:rPr>
        <w:t>4.2 展望</w:t>
      </w:r>
      <w:r>
        <w:rPr>
          <w:rFonts w:hint="eastAsia"/>
          <w:sz w:val="28"/>
        </w:rPr>
        <w:tab/>
      </w:r>
      <w:r>
        <w:rPr>
          <w:rFonts w:hint="eastAsia"/>
          <w:sz w:val="21"/>
          <w:szCs w:val="21"/>
          <w:lang w:val="en-US" w:eastAsia="zh-CN"/>
        </w:rPr>
        <w:t>9</w:t>
      </w:r>
    </w:p>
    <w:p w14:paraId="53AD9397">
      <w:pPr>
        <w:tabs>
          <w:tab w:val="right" w:leader="dot" w:pos="8280"/>
        </w:tabs>
        <w:spacing w:line="400" w:lineRule="exact"/>
        <w:rPr>
          <w:rFonts w:hint="default" w:ascii="黑体" w:hAnsi="黑体" w:eastAsia="黑体" w:cs="黑体"/>
          <w:b w:val="0"/>
          <w:bCs/>
          <w:lang w:val="en-US" w:eastAsia="zh-CN"/>
        </w:rPr>
      </w:pPr>
    </w:p>
    <w:p w14:paraId="48B1DEEA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07FA550C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3513613D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17F4880C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3285DECA">
      <w:pPr>
        <w:rPr>
          <w:rFonts w:hint="eastAsia" w:ascii="黑体" w:hAnsi="黑体" w:eastAsia="黑体" w:cs="黑体"/>
          <w:sz w:val="32"/>
          <w:szCs w:val="32"/>
        </w:rPr>
      </w:pPr>
    </w:p>
    <w:p w14:paraId="0F075D3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Chars="0"/>
        <w:jc w:val="center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1  </w:t>
      </w:r>
      <w:r>
        <w:rPr>
          <w:rFonts w:hint="eastAsia" w:ascii="黑体" w:hAnsi="黑体" w:eastAsia="黑体" w:cs="黑体"/>
          <w:sz w:val="32"/>
          <w:szCs w:val="32"/>
        </w:rPr>
        <w:t>作品概述</w:t>
      </w:r>
    </w:p>
    <w:p w14:paraId="3A7D40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</w:rPr>
        <w:t>1.1 背景及意义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 xml:space="preserve"> </w:t>
      </w:r>
    </w:p>
    <w:p w14:paraId="0F48380C">
      <w:pPr>
        <w:pStyle w:val="13"/>
        <w:keepNext w:val="0"/>
        <w:keepLines w:val="0"/>
        <w:widowControl/>
        <w:suppressLineNumbers w:val="0"/>
      </w:pPr>
      <w:r>
        <w:t>心血管疾病是全球首位死因，大量院外猝死由恶性心律失常引发。尽管当前可穿戴设备普遍搭载</w:t>
      </w:r>
      <w:r>
        <w:rPr>
          <w:rFonts w:hint="default" w:ascii="Times New Roman" w:hAnsi="Times New Roman" w:cs="Times New Roman"/>
        </w:rPr>
        <w:t>ECG</w:t>
      </w:r>
      <w:r>
        <w:t>监测功能，但其核心</w:t>
      </w:r>
      <w:r>
        <w:rPr>
          <w:rFonts w:hint="eastAsia"/>
          <w:lang w:val="en-US" w:eastAsia="zh-CN"/>
        </w:rPr>
        <w:t>工作范式</w:t>
      </w:r>
      <w:r>
        <w:t>仍</w:t>
      </w:r>
      <w:r>
        <w:rPr>
          <w:rFonts w:hint="eastAsia"/>
          <w:lang w:val="en-US" w:eastAsia="zh-CN"/>
        </w:rPr>
        <w:t>以</w:t>
      </w:r>
      <w:r>
        <w:rPr>
          <w:rStyle w:val="19"/>
        </w:rPr>
        <w:t>短时窗的“事后诊断”模式</w:t>
      </w:r>
      <w:r>
        <w:rPr>
          <w:rStyle w:val="19"/>
          <w:rFonts w:hint="eastAsia"/>
          <w:lang w:val="en-US" w:eastAsia="zh-CN"/>
        </w:rPr>
        <w:t>为主，</w:t>
      </w:r>
      <w:r>
        <w:t>即仅能依据数秒至数十秒的心电信号进行当下判断，缺乏对长程演化规律的捕捉，导致无法在室颤、室速等恶性事件发生前发出</w:t>
      </w:r>
      <w:r>
        <w:rPr>
          <w:rFonts w:hint="eastAsia"/>
          <w:lang w:val="en-US" w:eastAsia="zh-CN"/>
        </w:rPr>
        <w:t>超前</w:t>
      </w:r>
      <w:r>
        <w:t>预警，难以满足日常监护的刚性需求。</w:t>
      </w:r>
    </w:p>
    <w:p w14:paraId="375AD14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本项目立足于单一</w:t>
      </w:r>
      <w:r>
        <w:rPr>
          <w:rFonts w:hint="default" w:ascii="Times New Roman" w:hAnsi="Times New Roman" w:cs="Times New Roman"/>
          <w:sz w:val="24"/>
          <w:szCs w:val="24"/>
        </w:rPr>
        <w:t>ECG</w:t>
      </w:r>
      <w:r>
        <w:rPr>
          <w:sz w:val="24"/>
          <w:szCs w:val="24"/>
        </w:rPr>
        <w:t>信号，在</w:t>
      </w:r>
      <w:r>
        <w:rPr>
          <w:rStyle w:val="19"/>
          <w:sz w:val="24"/>
          <w:szCs w:val="24"/>
        </w:rPr>
        <w:t>长序列建模</w:t>
      </w:r>
      <w:r>
        <w:rPr>
          <w:sz w:val="24"/>
          <w:szCs w:val="24"/>
        </w:rPr>
        <w:t>与</w:t>
      </w:r>
      <w:r>
        <w:rPr>
          <w:rStyle w:val="19"/>
          <w:sz w:val="24"/>
          <w:szCs w:val="24"/>
        </w:rPr>
        <w:t>前瞻预警</w:t>
      </w:r>
      <w:r>
        <w:rPr>
          <w:sz w:val="24"/>
          <w:szCs w:val="24"/>
        </w:rPr>
        <w:t>方面</w:t>
      </w:r>
      <w:r>
        <w:rPr>
          <w:rFonts w:hint="eastAsia"/>
          <w:sz w:val="24"/>
          <w:szCs w:val="24"/>
          <w:lang w:val="en-US" w:eastAsia="zh-CN"/>
        </w:rPr>
        <w:t>深入研究</w:t>
      </w:r>
      <w:r>
        <w:rPr>
          <w:sz w:val="24"/>
          <w:szCs w:val="24"/>
        </w:rPr>
        <w:t>。通过挖掘过去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sz w:val="24"/>
          <w:szCs w:val="24"/>
        </w:rPr>
        <w:t>分钟心电数据的潜在演化特征，实现未来5分钟的风险趋势预测，将预警窗口提前</w:t>
      </w:r>
      <w:r>
        <w:rPr>
          <w:rFonts w:hint="default" w:ascii="Times New Roman" w:hAnsi="Times New Roman" w:cs="Times New Roman"/>
          <w:sz w:val="24"/>
          <w:szCs w:val="24"/>
        </w:rPr>
        <w:t>30–60</w:t>
      </w:r>
      <w:r>
        <w:rPr>
          <w:sz w:val="24"/>
          <w:szCs w:val="24"/>
        </w:rPr>
        <w:t>秒，</w:t>
      </w:r>
      <w:r>
        <w:rPr>
          <w:rStyle w:val="19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构建了一条从长序列特征提取到未来风险预测的完整技术路径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，显著提升了单模态ECG的预警时效。</w:t>
      </w:r>
    </w:p>
    <w:p w14:paraId="2421F51A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t>该系统无需依赖复杂的多模态传感器，具有成本低、易部署、临床解释性强的优势，为家庭、社区及养老机构提供了一种高时效、低成本的心血管健康防护屏障。</w:t>
      </w:r>
    </w:p>
    <w:p w14:paraId="1301E1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</w:rPr>
        <w:t xml:space="preserve">1.2 研究基础 </w:t>
      </w:r>
    </w:p>
    <w:p w14:paraId="3092764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项目构建了多维度的</w:t>
      </w:r>
      <w:r>
        <w:rPr>
          <w:rFonts w:hint="default" w:ascii="Times New Roman" w:hAnsi="Times New Roman" w:eastAsia="宋体" w:cs="Times New Roman"/>
          <w:sz w:val="24"/>
          <w:szCs w:val="24"/>
        </w:rPr>
        <w:t>ECG</w:t>
      </w:r>
      <w:r>
        <w:rPr>
          <w:rFonts w:hint="eastAsia" w:ascii="宋体" w:hAnsi="宋体" w:eastAsia="宋体" w:cs="宋体"/>
          <w:sz w:val="24"/>
          <w:szCs w:val="24"/>
        </w:rPr>
        <w:t>数据基石：以</w:t>
      </w:r>
      <w:r>
        <w:rPr>
          <w:rFonts w:hint="default" w:ascii="Times New Roman" w:hAnsi="Times New Roman" w:eastAsia="宋体" w:cs="Times New Roman"/>
          <w:sz w:val="24"/>
          <w:szCs w:val="24"/>
        </w:rPr>
        <w:t>MIT-BIH</w:t>
      </w:r>
      <w:r>
        <w:rPr>
          <w:rFonts w:hint="eastAsia" w:ascii="宋体" w:hAnsi="宋体" w:eastAsia="宋体" w:cs="宋体"/>
          <w:sz w:val="24"/>
          <w:szCs w:val="24"/>
        </w:rPr>
        <w:t>系列（</w:t>
      </w:r>
      <w:r>
        <w:rPr>
          <w:rFonts w:hint="default" w:ascii="Times New Roman" w:hAnsi="Times New Roman" w:eastAsia="宋体" w:cs="Times New Roman"/>
          <w:sz w:val="24"/>
          <w:szCs w:val="24"/>
        </w:rPr>
        <w:t>mitdb, vfdb, afdb, cudb</w:t>
      </w:r>
      <w:r>
        <w:rPr>
          <w:rFonts w:hint="eastAsia" w:ascii="宋体" w:hAnsi="宋体" w:eastAsia="宋体" w:cs="宋体"/>
          <w:sz w:val="24"/>
          <w:szCs w:val="24"/>
        </w:rPr>
        <w:t>）为基准验证集，覆盖心律失常与恶性室性心律等关键病种；引入</w:t>
      </w:r>
      <w:r>
        <w:rPr>
          <w:rFonts w:hint="default" w:ascii="Times New Roman" w:hAnsi="Times New Roman" w:eastAsia="宋体" w:cs="Times New Roman"/>
          <w:sz w:val="24"/>
          <w:szCs w:val="24"/>
        </w:rPr>
        <w:t>PTB-XL</w:t>
      </w:r>
      <w:r>
        <w:rPr>
          <w:rFonts w:hint="eastAsia" w:ascii="宋体" w:hAnsi="宋体" w:eastAsia="宋体" w:cs="宋体"/>
          <w:sz w:val="24"/>
          <w:szCs w:val="24"/>
        </w:rPr>
        <w:t>大规模数据集（</w:t>
      </w:r>
      <w:r>
        <w:rPr>
          <w:rFonts w:hint="default"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万+病例）开展预训练，强化模型对</w:t>
      </w:r>
      <w:r>
        <w:rPr>
          <w:rFonts w:hint="default" w:ascii="Times New Roman" w:hAnsi="Times New Roman" w:eastAsia="宋体" w:cs="Times New Roman"/>
          <w:sz w:val="24"/>
          <w:szCs w:val="24"/>
        </w:rPr>
        <w:t>QRS</w:t>
      </w:r>
      <w:r>
        <w:rPr>
          <w:rFonts w:hint="eastAsia" w:ascii="宋体" w:hAnsi="宋体" w:eastAsia="宋体" w:cs="宋体"/>
          <w:sz w:val="24"/>
          <w:szCs w:val="24"/>
        </w:rPr>
        <w:t>波群等形态学特征的提取能力；结合</w:t>
      </w:r>
      <w:r>
        <w:rPr>
          <w:rFonts w:hint="default" w:ascii="Times New Roman" w:hAnsi="Times New Roman" w:eastAsia="宋体" w:cs="Times New Roman"/>
          <w:sz w:val="24"/>
          <w:szCs w:val="24"/>
        </w:rPr>
        <w:t>PhysioNet</w:t>
      </w:r>
      <w:r>
        <w:rPr>
          <w:rFonts w:hint="eastAsia" w:ascii="宋体" w:hAnsi="宋体" w:eastAsia="宋体" w:cs="宋体"/>
          <w:sz w:val="24"/>
          <w:szCs w:val="24"/>
        </w:rPr>
        <w:t>长程心电记录，支撑</w:t>
      </w:r>
      <w:r>
        <w:rPr>
          <w:rFonts w:hint="default" w:ascii="Times New Roman" w:hAnsi="Times New Roman" w:eastAsia="宋体" w:cs="Times New Roman"/>
          <w:sz w:val="24"/>
          <w:szCs w:val="24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分钟级长序列建模。在算法层面，团队掌握了基于注意力的混合深度学习架构，融合</w:t>
      </w:r>
      <w:r>
        <w:rPr>
          <w:rFonts w:hint="default" w:ascii="Times New Roman" w:hAnsi="Times New Roman" w:eastAsia="宋体" w:cs="Times New Roman"/>
          <w:sz w:val="24"/>
          <w:szCs w:val="24"/>
        </w:rPr>
        <w:t>1D-CNN</w:t>
      </w:r>
      <w:r>
        <w:rPr>
          <w:rFonts w:hint="eastAsia" w:ascii="宋体" w:hAnsi="宋体" w:eastAsia="宋体" w:cs="宋体"/>
          <w:sz w:val="24"/>
          <w:szCs w:val="24"/>
        </w:rPr>
        <w:t>（局部形态捕获）、</w:t>
      </w:r>
      <w:r>
        <w:rPr>
          <w:rFonts w:hint="default" w:ascii="Times New Roman" w:hAnsi="Times New Roman" w:eastAsia="宋体" w:cs="Times New Roman"/>
          <w:sz w:val="24"/>
          <w:szCs w:val="24"/>
        </w:rPr>
        <w:t>TCN</w:t>
      </w:r>
      <w:r>
        <w:rPr>
          <w:rFonts w:hint="eastAsia" w:ascii="宋体" w:hAnsi="宋体" w:eastAsia="宋体" w:cs="宋体"/>
          <w:sz w:val="24"/>
          <w:szCs w:val="24"/>
        </w:rPr>
        <w:t>（长程依赖建模）与时序注意力机制，并具备</w:t>
      </w:r>
      <w:r>
        <w:rPr>
          <w:rFonts w:hint="default" w:ascii="Times New Roman" w:hAnsi="Times New Roman" w:eastAsia="宋体" w:cs="Times New Roman"/>
          <w:sz w:val="24"/>
          <w:szCs w:val="24"/>
        </w:rPr>
        <w:t>1D-CAM</w:t>
      </w:r>
      <w:r>
        <w:rPr>
          <w:rFonts w:hint="eastAsia" w:ascii="宋体" w:hAnsi="宋体" w:eastAsia="宋体" w:cs="宋体"/>
          <w:sz w:val="24"/>
          <w:szCs w:val="24"/>
        </w:rPr>
        <w:t>可视化溯源能力，为单模态</w:t>
      </w:r>
      <w:r>
        <w:rPr>
          <w:rFonts w:hint="default" w:ascii="Times New Roman" w:hAnsi="Times New Roman" w:eastAsia="宋体" w:cs="Times New Roman"/>
          <w:sz w:val="24"/>
          <w:szCs w:val="24"/>
        </w:rPr>
        <w:t>ECG</w:t>
      </w:r>
      <w:r>
        <w:rPr>
          <w:rFonts w:hint="eastAsia" w:ascii="宋体" w:hAnsi="宋体" w:eastAsia="宋体" w:cs="宋体"/>
          <w:sz w:val="24"/>
          <w:szCs w:val="24"/>
        </w:rPr>
        <w:t>的深度分析提供了坚实的技术储备。</w:t>
      </w:r>
    </w:p>
    <w:p w14:paraId="2607D4BD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E3131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</w:rPr>
        <w:t xml:space="preserve">1.3 需求分析 </w:t>
      </w:r>
    </w:p>
    <w:p w14:paraId="070874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/>
          <w:b/>
          <w:color w:val="FF0000"/>
          <w:sz w:val="28"/>
          <w:szCs w:val="28"/>
        </w:rPr>
      </w:pPr>
    </w:p>
    <w:tbl>
      <w:tblPr>
        <w:tblStyle w:val="29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6E820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52139B9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需求类别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7B3FEFA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具体需求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2ACD79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优先级</w:t>
            </w:r>
          </w:p>
        </w:tc>
      </w:tr>
      <w:tr w14:paraId="67FFCD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19FED3F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前瞻预警需求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49CBCAF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需突破传统“事后报警”限制，实现基于过去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10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分钟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ECG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数据对未来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5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分钟风险趋势的预测，争取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30–60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秒的提前干预时间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154D1F8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高</w:t>
            </w:r>
          </w:p>
        </w:tc>
      </w:tr>
      <w:tr w14:paraId="03E7EE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7F7378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长序列处理需求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A10501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需解决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CNN/LSTM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在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10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分钟级长程依赖建模中的算力与信息丢失问题，保留微小异常信号的完整性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5EF8A0C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高</w:t>
            </w:r>
          </w:p>
        </w:tc>
      </w:tr>
      <w:tr w14:paraId="6698A2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6F5F28D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临床可信度需求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64B353B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需解决医疗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AI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中的数据泄露问题，通过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Patient-level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隔离训练确保泛化能力，并利用可视化技术提升模型决策的透明度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6DA3362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中</w:t>
            </w:r>
          </w:p>
        </w:tc>
      </w:tr>
      <w:tr w14:paraId="72B640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1EC9ECE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性能</w:t>
            </w:r>
            <w:r>
              <w:rPr>
                <w:rFonts w:hint="eastAsia" w:ascii="宋体" w:hAnsi="宋体" w:cs="宋体"/>
                <w:color w:val="1F1F1F"/>
                <w:sz w:val="24"/>
                <w:szCs w:val="24"/>
                <w:rtl w:val="0"/>
                <w:lang w:val="en-US" w:eastAsia="zh-CN"/>
              </w:rPr>
              <w:t>需求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4A4666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低延迟推理（&lt; 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50ms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/帧），满足实时监测的流畅性要求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3279963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高</w:t>
            </w:r>
          </w:p>
        </w:tc>
      </w:tr>
      <w:tr w14:paraId="39DBA6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739C414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低误报需求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79BD355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需滤除肌电伪影等瞬态干扰，通过防抖机制降低虚警率，满足实际监护场景的可用性要求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2860AFA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高</w:t>
            </w:r>
          </w:p>
        </w:tc>
      </w:tr>
      <w:tr w14:paraId="3C67BB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6AB8451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性能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619DF46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具备平滑处理机制，减少由于信号干扰造成的误报波动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15C5E74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高</w:t>
            </w:r>
          </w:p>
        </w:tc>
      </w:tr>
      <w:tr w14:paraId="15B61D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3E6603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可扩展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39BD4E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支持异常事件自动记录与历史日志查询功能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6D1B1D0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低</w:t>
            </w:r>
          </w:p>
        </w:tc>
      </w:tr>
    </w:tbl>
    <w:p w14:paraId="4EB050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/>
          <w:b/>
          <w:color w:val="FF0000"/>
          <w:sz w:val="28"/>
          <w:szCs w:val="28"/>
        </w:rPr>
      </w:pPr>
    </w:p>
    <w:p w14:paraId="258F0E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/>
          <w:b/>
          <w:color w:val="FF0000"/>
          <w:sz w:val="28"/>
          <w:szCs w:val="28"/>
        </w:rPr>
      </w:pPr>
    </w:p>
    <w:p w14:paraId="15CC4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黑体" w:hAnsi="黑体" w:eastAsia="黑体" w:cs="黑体"/>
          <w:b w:val="0"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 w:val="0"/>
          <w:bCs/>
          <w:color w:val="auto"/>
          <w:sz w:val="30"/>
          <w:szCs w:val="30"/>
        </w:rPr>
        <w:t>1.4 研究目标及完成情况</w:t>
      </w:r>
    </w:p>
    <w:p w14:paraId="780E8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黑体" w:hAnsi="黑体" w:eastAsia="黑体" w:cs="黑体"/>
          <w:b w:val="0"/>
          <w:bCs/>
          <w:color w:val="auto"/>
          <w:sz w:val="30"/>
          <w:szCs w:val="30"/>
        </w:rPr>
      </w:pPr>
    </w:p>
    <w:tbl>
      <w:tblPr>
        <w:tblStyle w:val="31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4E0242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48CD345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技术/功能指标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59C34D0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目标值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162DE5F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实际完成情况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632161C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状态</w:t>
            </w:r>
          </w:p>
        </w:tc>
      </w:tr>
      <w:tr w14:paraId="3F05CF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49E23CC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推理时延（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GPU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76424FA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&lt; 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50 ms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frame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CAFC78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1.616 ms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frame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53C4F12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✅完成</w:t>
            </w:r>
          </w:p>
        </w:tc>
      </w:tr>
      <w:tr w14:paraId="3FC2A8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27E0B2C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数据集隔离强度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5A72DE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患者 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ID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 级 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100%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 隔离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7A332BC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已完成物理隔离测试集构建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1E1956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✅完成</w:t>
            </w:r>
          </w:p>
        </w:tc>
      </w:tr>
      <w:tr w14:paraId="229DC7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23C9F3C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警报稳定性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12DDB4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无明显异常波动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74B216E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 xml:space="preserve">5 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帧滑动平均平滑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5CF26AB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✅完成</w:t>
            </w:r>
          </w:p>
        </w:tc>
      </w:tr>
      <w:tr w14:paraId="630631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4A33340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正常态 (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Class 0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) 召回率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5D722CE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≥ 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95%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4EBAEEC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98%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 (测试集验证)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3F9DB5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✅完成</w:t>
            </w:r>
          </w:p>
        </w:tc>
      </w:tr>
      <w:tr w14:paraId="00CD18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4E75F03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室早 (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Class 1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) 精确率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79EEBBB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≥ 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85%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7C715D7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96%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 (测试集验证)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707859E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✅完成</w:t>
            </w:r>
          </w:p>
        </w:tc>
      </w:tr>
      <w:tr w14:paraId="5AA921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26C43AD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严重重症 (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Class 3/4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) 召回率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6C7D21F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≥ 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90%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25B096C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测试集样本较少，有待进一步验证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323B73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待优化</w:t>
            </w:r>
          </w:p>
        </w:tc>
      </w:tr>
    </w:tbl>
    <w:p w14:paraId="20587E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/>
          <w:b/>
          <w:color w:val="FF0000"/>
          <w:sz w:val="28"/>
          <w:szCs w:val="28"/>
        </w:rPr>
      </w:pPr>
    </w:p>
    <w:p w14:paraId="5537C5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/>
          <w:b/>
          <w:color w:val="FF0000"/>
          <w:sz w:val="28"/>
          <w:szCs w:val="28"/>
        </w:rPr>
      </w:pPr>
    </w:p>
    <w:p w14:paraId="07938E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宋体" w:hAnsi="宋体"/>
          <w:b/>
          <w:color w:val="FF0000"/>
          <w:sz w:val="28"/>
          <w:szCs w:val="28"/>
        </w:rPr>
      </w:pPr>
    </w:p>
    <w:p w14:paraId="0FCAF1C9">
      <w:pPr>
        <w:pStyle w:val="3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黑体" w:hAnsi="黑体" w:eastAsia="黑体" w:cs="黑体"/>
          <w:color w:val="1F1F1F"/>
          <w:sz w:val="32"/>
          <w:szCs w:val="32"/>
        </w:rPr>
      </w:pPr>
      <w:r>
        <w:rPr>
          <w:rFonts w:hint="eastAsia" w:ascii="黑体" w:hAnsi="黑体" w:eastAsia="黑体" w:cs="黑体"/>
          <w:color w:val="1F1F1F"/>
          <w:sz w:val="32"/>
          <w:szCs w:val="32"/>
          <w:rtl w:val="0"/>
          <w:lang w:val="en-US" w:eastAsia="zh-CN"/>
        </w:rPr>
        <w:t xml:space="preserve">2  </w:t>
      </w:r>
      <w:r>
        <w:rPr>
          <w:rFonts w:hint="eastAsia" w:ascii="黑体" w:hAnsi="黑体" w:eastAsia="黑体" w:cs="黑体"/>
          <w:color w:val="1F1F1F"/>
          <w:sz w:val="32"/>
          <w:szCs w:val="32"/>
          <w:rtl w:val="0"/>
        </w:rPr>
        <w:t>作品方案设计及实现</w:t>
      </w:r>
    </w:p>
    <w:p w14:paraId="05BE8F61">
      <w:pPr>
        <w:pStyle w:val="4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  <w:t>2.1 技术路线概述</w:t>
      </w:r>
    </w:p>
    <w:p w14:paraId="37DBED61">
      <w:pPr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系统采用 </w:t>
      </w:r>
      <w:r>
        <w:rPr>
          <w:rFonts w:hint="default" w:ascii="Times New Roman" w:hAnsi="Times New Roman" w:eastAsia="宋体" w:cs="Times New Roman"/>
          <w:b w:val="0"/>
          <w:bCs w:val="0"/>
          <w:color w:val="1F1F1F"/>
          <w:sz w:val="24"/>
          <w:szCs w:val="24"/>
          <w:rtl w:val="0"/>
        </w:rPr>
        <w:t>HybridWarningNet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 xml:space="preserve"> 特征提取架构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，针对长序列数据进行预警分析：</w:t>
      </w:r>
    </w:p>
    <w:p w14:paraId="26E559A5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流程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：输入信号（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250Hz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）→ 滤波处理（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0.5-45Hz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）→ 提取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 xml:space="preserve">10 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分钟切片 → 深度学习模型推理 → 概率平滑处理 → 控制台展示。</w:t>
      </w:r>
    </w:p>
    <w:p w14:paraId="6E653E00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textAlignment w:val="auto"/>
        <w:rPr>
          <w:rFonts w:hint="eastAsia" w:ascii="宋体" w:hAnsi="宋体" w:eastAsia="宋体" w:cs="宋体"/>
          <w:color w:val="1F1F1F"/>
          <w:sz w:val="24"/>
          <w:szCs w:val="24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定性逻辑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：在预测窗口内依据“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VF(3)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 &gt;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VT(4)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 &gt;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AFib(2)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 &gt;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AT(5)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 &gt;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PVC(1)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 &gt;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Normal(0)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”的优先级进行标记。</w:t>
      </w:r>
    </w:p>
    <w:p w14:paraId="3F0E61C9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textAlignment w:val="auto"/>
        <w:rPr>
          <w:rFonts w:hint="eastAsia" w:ascii="宋体" w:hAnsi="宋体" w:eastAsia="宋体" w:cs="宋体"/>
          <w:color w:val="1F1F1F"/>
          <w:sz w:val="24"/>
          <w:szCs w:val="24"/>
          <w:rtl w:val="0"/>
        </w:rPr>
      </w:pPr>
    </w:p>
    <w:p w14:paraId="6FE13004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  <w:t>2.2 技术方案对比</w:t>
      </w:r>
    </w:p>
    <w:p w14:paraId="018886B2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</w:pPr>
    </w:p>
    <w:tbl>
      <w:tblPr>
        <w:tblStyle w:val="32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33B4E2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78B93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方案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425D1AB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优点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3943DF7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缺点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3EEF58D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本作品选择</w:t>
            </w:r>
          </w:p>
        </w:tc>
      </w:tr>
      <w:tr w14:paraId="7D63CA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7CA4968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HRV + 线性分类器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225B0EC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计算量小，逻辑简单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3D5C05F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难以分析局部波形特征，漏报风险高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0CFD25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❌</w:t>
            </w:r>
          </w:p>
        </w:tc>
      </w:tr>
      <w:tr w14:paraId="55A265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B7B22A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基础 1D-CNN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1F87DEF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局部形态特征提取较好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2446DE1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难以处理长达 10 分钟的长程依赖关系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54CA221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❌</w:t>
            </w:r>
          </w:p>
        </w:tc>
      </w:tr>
      <w:tr w14:paraId="236009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3AE642F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CNN + TCN + 注意力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5D6AB09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兼顾局部形态与长程节律演变，支持并行计算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5594400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模型复杂度较高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195A8F9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✅</w:t>
            </w:r>
          </w:p>
        </w:tc>
      </w:tr>
    </w:tbl>
    <w:p w14:paraId="12941302">
      <w:pPr>
        <w:pStyle w:val="4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</w:pPr>
    </w:p>
    <w:p w14:paraId="602400B5">
      <w:pPr>
        <w:pStyle w:val="4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  <w:t>2.3 作品方案设计及实现过程</w:t>
      </w:r>
    </w:p>
    <w:p w14:paraId="04BC094B">
      <w:pPr>
        <w:pStyle w:val="5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28"/>
          <w:szCs w:val="28"/>
          <w:rtl w:val="0"/>
        </w:rPr>
        <w:t>2.3.1 数据处理与流水线设计</w:t>
      </w:r>
    </w:p>
    <w:p w14:paraId="62A10148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多库对齐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 xml:space="preserve">：对 </w:t>
      </w:r>
      <w:r>
        <w:rPr>
          <w:rFonts w:hint="default" w:ascii="Times New Roman" w:hAnsi="Times New Roman" w:eastAsia="宋体" w:cs="Times New Roman"/>
          <w:b w:val="0"/>
          <w:bCs w:val="0"/>
          <w:color w:val="1F1F1F"/>
          <w:sz w:val="24"/>
          <w:szCs w:val="24"/>
          <w:rtl w:val="0"/>
        </w:rPr>
        <w:t>mitdb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1F1F1F"/>
          <w:sz w:val="24"/>
          <w:szCs w:val="24"/>
          <w:rtl w:val="0"/>
        </w:rPr>
        <w:t>cudb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 xml:space="preserve"> 等数据库进行统一降采样（</w:t>
      </w:r>
      <w:r>
        <w:rPr>
          <w:rFonts w:hint="default" w:ascii="Times New Roman" w:hAnsi="Times New Roman" w:eastAsia="宋体" w:cs="Times New Roman"/>
          <w:b w:val="0"/>
          <w:bCs w:val="0"/>
          <w:color w:val="1F1F1F"/>
          <w:sz w:val="24"/>
          <w:szCs w:val="24"/>
          <w:rtl w:val="0"/>
        </w:rPr>
        <w:t>250Hz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>）与滤波处理。</w:t>
      </w:r>
    </w:p>
    <w:p w14:paraId="31E58B98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ID 级物理隔离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 xml:space="preserve">：按患者 </w:t>
      </w:r>
      <w:r>
        <w:rPr>
          <w:rFonts w:hint="default" w:ascii="Times New Roman" w:hAnsi="Times New Roman" w:eastAsia="宋体" w:cs="Times New Roman"/>
          <w:b w:val="0"/>
          <w:bCs w:val="0"/>
          <w:color w:val="1F1F1F"/>
          <w:sz w:val="24"/>
          <w:szCs w:val="24"/>
          <w:rtl w:val="0"/>
        </w:rPr>
        <w:t>ID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 xml:space="preserve"> 进行 </w:t>
      </w:r>
      <w:r>
        <w:rPr>
          <w:rFonts w:hint="default" w:ascii="Times New Roman" w:hAnsi="Times New Roman" w:eastAsia="宋体" w:cs="Times New Roman"/>
          <w:b w:val="0"/>
          <w:bCs w:val="0"/>
          <w:color w:val="1F1F1F"/>
          <w:sz w:val="24"/>
          <w:szCs w:val="24"/>
          <w:rtl w:val="0"/>
        </w:rPr>
        <w:t>8:2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 xml:space="preserve"> 划分，生成独立的训练集（</w:t>
      </w:r>
      <w:r>
        <w:rPr>
          <w:rFonts w:hint="default" w:ascii="Times New Roman" w:hAnsi="Times New Roman" w:eastAsia="宋体" w:cs="Times New Roman"/>
          <w:b w:val="0"/>
          <w:bCs w:val="0"/>
          <w:color w:val="1F1F1F"/>
          <w:sz w:val="24"/>
          <w:szCs w:val="24"/>
          <w:rtl w:val="0"/>
        </w:rPr>
        <w:t>train_massive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>）与测试集（</w:t>
      </w:r>
      <w:r>
        <w:rPr>
          <w:rFonts w:hint="default" w:ascii="Times New Roman" w:hAnsi="Times New Roman" w:eastAsia="宋体" w:cs="Times New Roman"/>
          <w:b w:val="0"/>
          <w:bCs w:val="0"/>
          <w:color w:val="1F1F1F"/>
          <w:sz w:val="24"/>
          <w:szCs w:val="24"/>
          <w:rtl w:val="0"/>
        </w:rPr>
        <w:t>test_pure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>）。</w:t>
      </w:r>
    </w:p>
    <w:p w14:paraId="7158B96F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类别均衡处理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 xml:space="preserve">：在训练集中对少数类（如 </w:t>
      </w:r>
      <w:r>
        <w:rPr>
          <w:rFonts w:hint="default" w:ascii="Times New Roman" w:hAnsi="Times New Roman" w:eastAsia="宋体" w:cs="Times New Roman"/>
          <w:b w:val="0"/>
          <w:bCs w:val="0"/>
          <w:color w:val="1F1F1F"/>
          <w:sz w:val="24"/>
          <w:szCs w:val="24"/>
          <w:rtl w:val="0"/>
        </w:rPr>
        <w:t>AT、VF、VT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>）进行针对性的过采样，以改善模型对低频样本的学习效果。</w:t>
      </w:r>
    </w:p>
    <w:p w14:paraId="68D375BC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标签平滑策略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>：引入</w:t>
      </w:r>
      <w:r>
        <w:rPr>
          <w:rFonts w:hint="default" w:ascii="Times New Roman" w:hAnsi="Times New Roman" w:eastAsia="宋体" w:cs="Times New Roman"/>
          <w:b w:val="0"/>
          <w:bCs w:val="0"/>
          <w:color w:val="1F1F1F"/>
          <w:sz w:val="24"/>
          <w:szCs w:val="24"/>
          <w:rtl w:val="0"/>
        </w:rPr>
        <w:t xml:space="preserve"> Label Smoothing 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  <w:rtl w:val="0"/>
        </w:rPr>
        <w:t>容错机制，将硬标签转化为包含死区概率的软分布。</w:t>
      </w:r>
    </w:p>
    <w:p w14:paraId="55D082D7">
      <w:pPr>
        <w:pStyle w:val="5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28"/>
          <w:szCs w:val="28"/>
          <w:rtl w:val="0"/>
        </w:rPr>
        <w:t>2.3.2 模型架构设计</w:t>
      </w:r>
    </w:p>
    <w:p w14:paraId="46E5CCD2">
      <w:pPr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系统核心模型集成了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  <w:lang w:val="en-US" w:eastAsia="zh-CN"/>
        </w:rPr>
        <w:t>五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类特征提取方式：</w:t>
      </w:r>
    </w:p>
    <w:p w14:paraId="706246FE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1F1F1F"/>
          <w:sz w:val="24"/>
          <w:szCs w:val="24"/>
          <w:rtl w:val="0"/>
        </w:rPr>
        <w:t>1D-CNN</w:t>
      </w: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 xml:space="preserve"> 分支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：捕捉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 xml:space="preserve"> QRS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 增宽等形态畸变。</w:t>
      </w:r>
    </w:p>
    <w:p w14:paraId="1CF7C875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1F1F1F"/>
          <w:sz w:val="24"/>
          <w:szCs w:val="24"/>
          <w:rtl w:val="0"/>
        </w:rPr>
        <w:t>TCN</w:t>
      </w: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 xml:space="preserve"> 模块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：利用膨胀卷积处理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 xml:space="preserve"> 10 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分钟长程节律，并应用全局跳跃连接。</w:t>
      </w:r>
    </w:p>
    <w:p w14:paraId="3F02892B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时序注意力机制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：辅助模型定位序列中的关键风险点。</w:t>
      </w:r>
    </w:p>
    <w:p w14:paraId="74377A9E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节律包络分支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：增强对微小节律改变的整体感知。</w:t>
      </w:r>
    </w:p>
    <w:p w14:paraId="07C72DE5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可视化支持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：通过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1D-CAM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 技术输出溯源热力图，协助分析预测逻辑。</w:t>
      </w:r>
    </w:p>
    <w:p w14:paraId="77D8FBB9">
      <w:pPr>
        <w:pStyle w:val="5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28"/>
          <w:szCs w:val="28"/>
          <w:rtl w:val="0"/>
        </w:rPr>
        <w:t>2.3.3 训练策略与策略博弈</w:t>
      </w:r>
    </w:p>
    <w:p w14:paraId="10C610EB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损失函数优化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：采用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SoftFocalLoss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，通过调整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 xml:space="preserve"> $\gamma$ 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参数聚焦困难样本训练。</w:t>
      </w:r>
    </w:p>
    <w:p w14:paraId="777EB8DA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临床加权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：应用差异化权重矩阵 [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1.0, 1.5, 3.0, 6.0, 5.0, 4.0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]，提高对室颤、室速等高危类别的识别敏感度。</w:t>
      </w:r>
    </w:p>
    <w:p w14:paraId="14B91872">
      <w:pPr>
        <w:pStyle w:val="5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28"/>
          <w:szCs w:val="28"/>
          <w:rtl w:val="0"/>
        </w:rPr>
        <w:t>2.3.4 系统原型实现</w:t>
      </w:r>
    </w:p>
    <w:p w14:paraId="13D716E7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后端服务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：基于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FastAPI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，内置滑动时间窗平滑逻辑，减少瞬态干扰。</w:t>
      </w:r>
    </w:p>
    <w:p w14:paraId="6E0FB0CF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textAlignment w:val="auto"/>
        <w:rPr>
          <w:rFonts w:hint="eastAsia" w:ascii="宋体" w:hAnsi="宋体" w:eastAsia="宋体" w:cs="宋体"/>
          <w:color w:val="1F1F1F"/>
          <w:sz w:val="24"/>
          <w:szCs w:val="24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前端设计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：采用深色背景与指示带式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 xml:space="preserve"> UI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 布局，动态展示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 xml:space="preserve">Top-3 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预测概率，并提供自动化异常事件日志。</w:t>
      </w:r>
    </w:p>
    <w:p w14:paraId="7D5BC704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textAlignment w:val="auto"/>
        <w:rPr>
          <w:rFonts w:hint="eastAsia" w:ascii="宋体" w:hAnsi="宋体" w:eastAsia="宋体" w:cs="宋体"/>
          <w:color w:val="1F1F1F"/>
          <w:sz w:val="24"/>
          <w:szCs w:val="24"/>
          <w:rtl w:val="0"/>
        </w:rPr>
      </w:pPr>
    </w:p>
    <w:p w14:paraId="290EE614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textAlignment w:val="auto"/>
        <w:rPr>
          <w:rFonts w:hint="eastAsia" w:ascii="宋体" w:hAnsi="宋体" w:eastAsia="宋体" w:cs="宋体"/>
          <w:color w:val="1F1F1F"/>
          <w:sz w:val="24"/>
          <w:szCs w:val="24"/>
          <w:rtl w:val="0"/>
        </w:rPr>
      </w:pPr>
    </w:p>
    <w:p w14:paraId="2DA6157B">
      <w:pPr>
        <w:pStyle w:val="3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Google Sans" w:hAnsi="Google Sans" w:eastAsia="Google Sans" w:cs="Google Sans"/>
          <w:color w:val="1F1F1F"/>
        </w:rPr>
      </w:pPr>
      <w:r>
        <w:rPr>
          <w:rFonts w:hint="eastAsia" w:ascii="黑体" w:hAnsi="黑体" w:eastAsia="黑体" w:cs="黑体"/>
          <w:color w:val="1F1F1F"/>
          <w:sz w:val="32"/>
          <w:szCs w:val="32"/>
          <w:rtl w:val="0"/>
          <w:lang w:val="en-US" w:eastAsia="zh-CN"/>
        </w:rPr>
        <w:t xml:space="preserve">3  </w:t>
      </w:r>
      <w:r>
        <w:rPr>
          <w:rFonts w:hint="eastAsia" w:ascii="黑体" w:hAnsi="黑体" w:eastAsia="黑体" w:cs="黑体"/>
          <w:color w:val="1F1F1F"/>
          <w:sz w:val="32"/>
          <w:szCs w:val="32"/>
          <w:rtl w:val="0"/>
        </w:rPr>
        <w:t>作品测试方案及测试结果</w:t>
      </w:r>
    </w:p>
    <w:p w14:paraId="1DBC2CA1">
      <w:pPr>
        <w:pStyle w:val="4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  <w:t>3.1 测试方案</w:t>
      </w:r>
    </w:p>
    <w:p w14:paraId="0368DDFB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环境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：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Windows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 系统，配备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NVIDIA GPU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 算力支持。</w:t>
      </w:r>
    </w:p>
    <w:p w14:paraId="4DA20A56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数据集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：采用完全隔离的患者盲测库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test_pure_v5.pt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（样本量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345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 条）。</w:t>
      </w:r>
    </w:p>
    <w:p w14:paraId="336948A1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textAlignment w:val="auto"/>
        <w:rPr>
          <w:rFonts w:hint="eastAsia" w:ascii="宋体" w:hAnsi="宋体" w:eastAsia="宋体" w:cs="宋体"/>
          <w:color w:val="1F1F1F"/>
          <w:sz w:val="24"/>
          <w:szCs w:val="24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评估项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：模型推理延迟、分类召回率及热力图解释性。</w:t>
      </w:r>
    </w:p>
    <w:p w14:paraId="55461D77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00" w:lineRule="exact"/>
        <w:textAlignment w:val="auto"/>
        <w:rPr>
          <w:rFonts w:hint="eastAsia" w:ascii="宋体" w:hAnsi="宋体" w:eastAsia="宋体" w:cs="宋体"/>
          <w:color w:val="1F1F1F"/>
          <w:sz w:val="24"/>
          <w:szCs w:val="24"/>
          <w:rtl w:val="0"/>
        </w:rPr>
      </w:pPr>
    </w:p>
    <w:p w14:paraId="36DE1ADC">
      <w:pPr>
        <w:pStyle w:val="4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  <w:t>3.2 技术及功能指标测试结果</w:t>
      </w:r>
    </w:p>
    <w:tbl>
      <w:tblPr>
        <w:tblStyle w:val="3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4FED64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1FE274D8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指标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2DD8D0F5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测试结果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168ADFFC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目标/状态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64734708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  <w:rtl w:val="0"/>
              </w:rPr>
              <w:t>备注</w:t>
            </w:r>
          </w:p>
        </w:tc>
      </w:tr>
      <w:tr w14:paraId="59A5A6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5B6E7F7D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sz w:val="24"/>
                <w:szCs w:val="24"/>
                <w:rtl w:val="0"/>
              </w:rPr>
              <w:t>实时推理延迟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12E5943A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1.616 ms/frame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2186E072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&lt; 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50 ms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 (✅)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440705DC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推理速度快，具备较好的实时处理潜力。</w:t>
            </w:r>
          </w:p>
        </w:tc>
      </w:tr>
      <w:tr w14:paraId="0CEF93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4D29CDB4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sz w:val="24"/>
                <w:szCs w:val="24"/>
                <w:rtl w:val="0"/>
              </w:rPr>
              <w:t>正常基线 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1F1F1F"/>
                <w:sz w:val="24"/>
                <w:szCs w:val="24"/>
                <w:rtl w:val="0"/>
              </w:rPr>
              <w:t>Class 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sz w:val="24"/>
                <w:szCs w:val="24"/>
                <w:rtl w:val="0"/>
              </w:rPr>
              <w:t>) 召回率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91381AE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98.0%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562D852C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 xml:space="preserve">≥ 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 xml:space="preserve">95% 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(✅)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71B8F837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特异性表现良好，有效降低了基础误报。</w:t>
            </w:r>
          </w:p>
        </w:tc>
      </w:tr>
      <w:tr w14:paraId="3FC6F7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6E4A0733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sz w:val="24"/>
                <w:szCs w:val="24"/>
                <w:rtl w:val="0"/>
              </w:rPr>
              <w:t>室早 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1F1F1F"/>
                <w:sz w:val="24"/>
                <w:szCs w:val="24"/>
                <w:rtl w:val="0"/>
              </w:rPr>
              <w:t>Class 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sz w:val="24"/>
                <w:szCs w:val="24"/>
                <w:rtl w:val="0"/>
              </w:rPr>
              <w:t>) 精确率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41803D1F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>96.0%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381E7F43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1F1F1F"/>
                <w:sz w:val="24"/>
                <w:szCs w:val="24"/>
                <w:rtl w:val="0"/>
              </w:rPr>
              <w:t xml:space="preserve"> 85% </w:t>
            </w: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(✅)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19C2B272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对形态异常的识别较为准确。</w:t>
            </w:r>
          </w:p>
        </w:tc>
      </w:tr>
      <w:tr w14:paraId="49B1D4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10AA6FAE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sz w:val="24"/>
                <w:szCs w:val="24"/>
                <w:rtl w:val="0"/>
              </w:rPr>
              <w:t>重症类别验证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67216F6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样本量不足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727A3DF0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待完善 (⚠️)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6F21E305">
            <w:pPr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  <w:rtl w:val="0"/>
              </w:rPr>
              <w:t>受随机划分影响，测试集中严重重症样本较少。</w:t>
            </w:r>
          </w:p>
        </w:tc>
      </w:tr>
    </w:tbl>
    <w:p w14:paraId="0AE6E917">
      <w:pPr>
        <w:pStyle w:val="4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Google Sans" w:hAnsi="Google Sans" w:eastAsia="Google Sans" w:cs="Google Sans"/>
          <w:color w:val="1F1F1F"/>
          <w:rtl w:val="0"/>
        </w:rPr>
      </w:pPr>
    </w:p>
    <w:p w14:paraId="526A3803">
      <w:pPr>
        <w:pStyle w:val="4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  <w:t>3.3 可行性说明</w:t>
      </w:r>
    </w:p>
    <w:p w14:paraId="20A5A525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技术基础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：采用成熟的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 xml:space="preserve">TCN 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与 </w:t>
      </w:r>
      <w:r>
        <w:rPr>
          <w:rFonts w:hint="default" w:ascii="Times New Roman" w:hAnsi="Times New Roman" w:eastAsia="宋体" w:cs="Times New Roman"/>
          <w:color w:val="1F1F1F"/>
          <w:sz w:val="24"/>
          <w:szCs w:val="24"/>
          <w:rtl w:val="0"/>
        </w:rPr>
        <w:t>CNN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 xml:space="preserve"> 融合架构，并在损失函数层面进行了针对性优化。</w:t>
      </w:r>
    </w:p>
    <w:p w14:paraId="7DC2B130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数据可靠性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：坚持患者级数据隔离，确保了评估指标的真实性与可靠性。</w:t>
      </w:r>
    </w:p>
    <w:p w14:paraId="129F7318">
      <w:pPr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宋体" w:hAnsi="宋体" w:eastAsia="宋体" w:cs="宋体"/>
          <w:color w:val="1F1F1F"/>
          <w:sz w:val="24"/>
          <w:szCs w:val="24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rtl w:val="0"/>
        </w:rPr>
        <w:t>部署潜力</w:t>
      </w:r>
      <w:r>
        <w:rPr>
          <w:rFonts w:hint="eastAsia" w:ascii="宋体" w:hAnsi="宋体" w:eastAsia="宋体" w:cs="宋体"/>
          <w:color w:val="1F1F1F"/>
          <w:sz w:val="24"/>
          <w:szCs w:val="24"/>
          <w:rtl w:val="0"/>
        </w:rPr>
        <w:t>：系统模型较小，且提供了硬件模拟数据的加载接口，具备进一步向嵌入式设备迁移的可能。</w:t>
      </w:r>
    </w:p>
    <w:p w14:paraId="12334EBC">
      <w:pPr>
        <w:pStyle w:val="3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color w:val="1F1F1F"/>
          <w:sz w:val="32"/>
          <w:szCs w:val="32"/>
          <w:rtl w:val="0"/>
          <w:lang w:val="en-US" w:eastAsia="zh-CN"/>
        </w:rPr>
      </w:pPr>
    </w:p>
    <w:p w14:paraId="58EF208C">
      <w:pPr>
        <w:pStyle w:val="3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color w:val="1F1F1F"/>
          <w:sz w:val="32"/>
          <w:szCs w:val="32"/>
          <w:rtl w:val="0"/>
          <w:lang w:val="en-US" w:eastAsia="zh-CN"/>
        </w:rPr>
      </w:pPr>
    </w:p>
    <w:p w14:paraId="6C6C2A17">
      <w:pPr>
        <w:pStyle w:val="3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color w:val="1F1F1F"/>
          <w:sz w:val="32"/>
          <w:szCs w:val="32"/>
        </w:rPr>
      </w:pPr>
      <w:r>
        <w:rPr>
          <w:rFonts w:hint="eastAsia" w:ascii="黑体" w:hAnsi="黑体" w:eastAsia="黑体" w:cs="黑体"/>
          <w:color w:val="1F1F1F"/>
          <w:sz w:val="32"/>
          <w:szCs w:val="32"/>
          <w:rtl w:val="0"/>
          <w:lang w:val="en-US" w:eastAsia="zh-CN"/>
        </w:rPr>
        <w:t xml:space="preserve">4  </w:t>
      </w:r>
      <w:r>
        <w:rPr>
          <w:rFonts w:hint="eastAsia" w:ascii="黑体" w:hAnsi="黑体" w:eastAsia="黑体" w:cs="黑体"/>
          <w:color w:val="1F1F1F"/>
          <w:sz w:val="32"/>
          <w:szCs w:val="32"/>
          <w:rtl w:val="0"/>
        </w:rPr>
        <w:t>总结</w:t>
      </w:r>
    </w:p>
    <w:p w14:paraId="4879CEAB">
      <w:pPr>
        <w:pStyle w:val="4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  <w:t>4.1 作品展示</w:t>
      </w:r>
    </w:p>
    <w:p w14:paraId="66C78D7B">
      <w:pPr>
        <w:pStyle w:val="4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  <w:rtl w:val="0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30"/>
          <w:szCs w:val="30"/>
          <w:rtl w:val="0"/>
          <w:lang w:eastAsia="zh-CN"/>
        </w:rPr>
        <w:t>？？？</w:t>
      </w:r>
    </w:p>
    <w:p w14:paraId="68713F62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/>
          <w:rtl w:val="0"/>
          <w:lang w:eastAsia="zh-CN"/>
        </w:rPr>
      </w:pPr>
    </w:p>
    <w:p w14:paraId="39073327">
      <w:pPr>
        <w:pStyle w:val="4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  <w:t>4.2 项目特色</w:t>
      </w:r>
    </w:p>
    <w:p w14:paraId="37D3176D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</w:pPr>
      <w:r>
        <w:rPr>
          <w:rStyle w:val="19"/>
          <w:rFonts w:hint="eastAsia"/>
          <w:lang w:eastAsia="zh-CN"/>
        </w:rPr>
        <w:t>（</w:t>
      </w:r>
      <w:r>
        <w:rPr>
          <w:rStyle w:val="19"/>
          <w:rFonts w:hint="eastAsia"/>
          <w:lang w:val="en-US" w:eastAsia="zh-CN"/>
        </w:rPr>
        <w:t>1</w:t>
      </w:r>
      <w:r>
        <w:rPr>
          <w:rStyle w:val="19"/>
          <w:rFonts w:hint="eastAsia"/>
          <w:lang w:eastAsia="zh-CN"/>
        </w:rPr>
        <w:t>）</w:t>
      </w:r>
      <w:r>
        <w:rPr>
          <w:rStyle w:val="19"/>
        </w:rPr>
        <w:t>长序列前瞻预警</w:t>
      </w:r>
      <w:r>
        <w:t>：</w:t>
      </w:r>
      <w:r>
        <w:rPr>
          <w:rFonts w:hint="eastAsia"/>
          <w:lang w:val="en-US" w:eastAsia="zh-CN"/>
        </w:rPr>
        <w:t>针对</w:t>
      </w:r>
      <w:r>
        <w:t>传统</w:t>
      </w:r>
      <w:r>
        <w:rPr>
          <w:rFonts w:hint="default" w:ascii="Times New Roman" w:hAnsi="Times New Roman" w:cs="Times New Roman"/>
        </w:rPr>
        <w:t>CNN/LSTM</w:t>
      </w:r>
      <w:r>
        <w:rPr>
          <w:rFonts w:hint="eastAsia" w:ascii="Times New Roman" w:hAnsi="Times New Roman" w:cs="Times New Roman"/>
          <w:lang w:val="en-US" w:eastAsia="zh-CN"/>
        </w:rPr>
        <w:t>主要</w:t>
      </w:r>
      <w:r>
        <w:t>受限于短序列的</w:t>
      </w:r>
      <w:r>
        <w:rPr>
          <w:rFonts w:hint="eastAsia"/>
          <w:lang w:val="en-US" w:eastAsia="zh-CN"/>
        </w:rPr>
        <w:t>现状</w:t>
      </w:r>
      <w:r>
        <w:t>，利用TCN（时序卷积网络）构建</w:t>
      </w:r>
      <w:r>
        <w:rPr>
          <w:rFonts w:hint="default" w:ascii="Times New Roman" w:hAnsi="Times New Roman" w:cs="Times New Roman"/>
        </w:rPr>
        <w:t>10</w:t>
      </w:r>
      <w:r>
        <w:t>分钟级长程依赖模型，实现</w:t>
      </w:r>
      <w:r>
        <w:rPr>
          <w:rStyle w:val="19"/>
        </w:rPr>
        <w:t>未来5分钟风险趋势预测</w:t>
      </w:r>
      <w:r>
        <w:t>，可提前30–60秒发出干预预警。</w:t>
      </w:r>
    </w:p>
    <w:p w14:paraId="1A2596FF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</w:pPr>
      <w:r>
        <w:rPr>
          <w:rStyle w:val="19"/>
          <w:rFonts w:hint="eastAsia"/>
          <w:lang w:eastAsia="zh-CN"/>
        </w:rPr>
        <w:t>（</w:t>
      </w:r>
      <w:r>
        <w:rPr>
          <w:rStyle w:val="19"/>
          <w:rFonts w:hint="eastAsia"/>
          <w:lang w:val="en-US" w:eastAsia="zh-CN"/>
        </w:rPr>
        <w:t>2</w:t>
      </w:r>
      <w:r>
        <w:rPr>
          <w:rStyle w:val="19"/>
          <w:rFonts w:hint="eastAsia"/>
          <w:lang w:eastAsia="zh-CN"/>
        </w:rPr>
        <w:t>）</w:t>
      </w:r>
      <w:r>
        <w:rPr>
          <w:rStyle w:val="19"/>
        </w:rPr>
        <w:t>混合架构抗噪与可解释性</w:t>
      </w:r>
      <w:r>
        <w:t>：融合</w:t>
      </w:r>
      <w:r>
        <w:rPr>
          <w:rFonts w:hint="default" w:ascii="Times New Roman" w:hAnsi="Times New Roman" w:cs="Times New Roman"/>
        </w:rPr>
        <w:t>1D-CNN</w:t>
      </w:r>
      <w:r>
        <w:t>（局部形态畸变捕获）、</w:t>
      </w:r>
      <w:r>
        <w:rPr>
          <w:rFonts w:hint="default" w:ascii="Times New Roman" w:hAnsi="Times New Roman" w:cs="Times New Roman"/>
        </w:rPr>
        <w:t>TCN</w:t>
      </w:r>
      <w:r>
        <w:t xml:space="preserve">（长程演化）+ </w:t>
      </w:r>
      <w:r>
        <w:rPr>
          <w:rFonts w:hint="default" w:ascii="Times New Roman" w:hAnsi="Times New Roman" w:cs="Times New Roman"/>
        </w:rPr>
        <w:t>Skip Connection</w:t>
      </w:r>
      <w:r>
        <w:t>（保留微小信号），配合</w:t>
      </w:r>
      <w:r>
        <w:rPr>
          <w:rFonts w:hint="default" w:ascii="Times New Roman" w:hAnsi="Times New Roman" w:cs="Times New Roman"/>
        </w:rPr>
        <w:t>Sigmoid</w:t>
      </w:r>
      <w:r>
        <w:t>注意力机制聚焦高危瞬间；内置</w:t>
      </w:r>
      <w:r>
        <w:rPr>
          <w:rFonts w:hint="default" w:ascii="Times New Roman" w:hAnsi="Times New Roman" w:cs="Times New Roman"/>
        </w:rPr>
        <w:t>1D</w:t>
      </w:r>
      <w:r>
        <w:rPr>
          <w:rFonts w:hint="default" w:ascii="Times New Roman" w:hAnsi="Times New Roman" w:cs="Times New Roman"/>
          <w:b w:val="0"/>
          <w:bCs w:val="0"/>
        </w:rPr>
        <w:t>-CA</w:t>
      </w:r>
      <w:r>
        <w:rPr>
          <w:rFonts w:hint="default" w:ascii="Times New Roman" w:hAnsi="Times New Roman" w:cs="Times New Roman"/>
        </w:rPr>
        <w:t>M</w:t>
      </w:r>
      <w:r>
        <w:t>可视化技术，</w:t>
      </w:r>
      <w:r>
        <w:rPr>
          <w:rFonts w:hint="eastAsia"/>
          <w:lang w:val="en-US" w:eastAsia="zh-CN"/>
        </w:rPr>
        <w:t>应对</w:t>
      </w:r>
      <w:r>
        <w:t>深度学习“黑箱”难题，提升临床可信度。</w:t>
      </w:r>
    </w:p>
    <w:p w14:paraId="55F4CA5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</w:pPr>
      <w:r>
        <w:rPr>
          <w:rStyle w:val="19"/>
          <w:rFonts w:hint="eastAsia"/>
          <w:lang w:eastAsia="zh-CN"/>
        </w:rPr>
        <w:t>（</w:t>
      </w:r>
      <w:r>
        <w:rPr>
          <w:rStyle w:val="19"/>
          <w:rFonts w:hint="eastAsia"/>
          <w:lang w:val="en-US" w:eastAsia="zh-CN"/>
        </w:rPr>
        <w:t>3</w:t>
      </w:r>
      <w:r>
        <w:rPr>
          <w:rStyle w:val="19"/>
          <w:rFonts w:hint="eastAsia"/>
          <w:lang w:eastAsia="zh-CN"/>
        </w:rPr>
        <w:t>）</w:t>
      </w:r>
      <w:r>
        <w:rPr>
          <w:rStyle w:val="19"/>
        </w:rPr>
        <w:t>严苛的训练与防抖策略</w:t>
      </w:r>
      <w:r>
        <w:t>：采用</w:t>
      </w:r>
      <w:r>
        <w:rPr>
          <w:rFonts w:hint="default" w:ascii="Times New Roman" w:hAnsi="Times New Roman" w:cs="Times New Roman"/>
        </w:rPr>
        <w:t>Patient-level</w:t>
      </w:r>
      <w:r>
        <w:t>（患者</w:t>
      </w:r>
      <w:r>
        <w:rPr>
          <w:rFonts w:hint="default" w:ascii="Times New Roman" w:hAnsi="Times New Roman" w:cs="Times New Roman"/>
        </w:rPr>
        <w:t>ID</w:t>
      </w:r>
      <w:r>
        <w:t>级）隔离训练，杜绝数据泄露；针对室颤（</w:t>
      </w:r>
      <w:r>
        <w:rPr>
          <w:rFonts w:hint="default" w:ascii="Times New Roman" w:hAnsi="Times New Roman" w:cs="Times New Roman"/>
        </w:rPr>
        <w:t>VF</w:t>
      </w:r>
      <w:r>
        <w:t>）、室速（</w:t>
      </w:r>
      <w:r>
        <w:rPr>
          <w:rFonts w:hint="default" w:ascii="Times New Roman" w:hAnsi="Times New Roman" w:cs="Times New Roman"/>
        </w:rPr>
        <w:t>VT</w:t>
      </w:r>
      <w:r>
        <w:t>）等危重症设置极高权重的动态</w:t>
      </w:r>
      <w:r>
        <w:rPr>
          <w:rFonts w:hint="default" w:ascii="Times New Roman" w:hAnsi="Times New Roman" w:cs="Times New Roman"/>
        </w:rPr>
        <w:t>Focal Loss</w:t>
      </w:r>
      <w:r>
        <w:t>；后端引入</w:t>
      </w:r>
      <w:r>
        <w:rPr>
          <w:rStyle w:val="19"/>
          <w:b w:val="0"/>
          <w:bCs/>
        </w:rPr>
        <w:t>防抖状态机</w:t>
      </w:r>
      <w:r>
        <w:t>，通过</w:t>
      </w:r>
      <w:r>
        <w:rPr>
          <w:rFonts w:hint="default" w:ascii="Times New Roman" w:hAnsi="Times New Roman" w:cs="Times New Roman"/>
        </w:rPr>
        <w:t>5</w:t>
      </w:r>
      <w:r>
        <w:t>帧概率均值平滑与时间窗积分，有效滤除瞬态伪影引发的虚警。</w:t>
      </w:r>
    </w:p>
    <w:p w14:paraId="685BFE5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</w:pPr>
      <w:r>
        <w:rPr>
          <w:rStyle w:val="19"/>
          <w:rFonts w:hint="eastAsia"/>
          <w:lang w:val="en-US" w:eastAsia="zh-CN"/>
        </w:rPr>
        <w:t>(4)</w:t>
      </w:r>
      <w:r>
        <w:rPr>
          <w:rStyle w:val="19"/>
        </w:rPr>
        <w:t>全栈式单模态方案</w:t>
      </w:r>
      <w:r>
        <w:t>：在不依赖PPG、EDA等多模态传感器的前提下，仅利用ECG即完成了从底层信号处理、云端训练到前端展示的全生命周期开发，具备低功耗、低成本、易部署的工程优势。</w:t>
      </w:r>
    </w:p>
    <w:p w14:paraId="5F60D75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hint="eastAsia"/>
          <w:rtl w:val="0"/>
        </w:rPr>
      </w:pPr>
    </w:p>
    <w:p w14:paraId="052023ED">
      <w:pPr>
        <w:pStyle w:val="4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  <w:t>4.3 应用价值</w:t>
      </w:r>
    </w:p>
    <w:p w14:paraId="6025B92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rPr>
          <w:rStyle w:val="19"/>
          <w:rFonts w:hint="eastAsia"/>
          <w:lang w:eastAsia="zh-CN"/>
        </w:rPr>
        <w:t>（</w:t>
      </w:r>
      <w:r>
        <w:rPr>
          <w:rStyle w:val="19"/>
          <w:rFonts w:hint="eastAsia"/>
          <w:lang w:val="en-US" w:eastAsia="zh-CN"/>
        </w:rPr>
        <w:t>1</w:t>
      </w:r>
      <w:r>
        <w:rPr>
          <w:rStyle w:val="19"/>
          <w:rFonts w:hint="eastAsia"/>
          <w:lang w:eastAsia="zh-CN"/>
        </w:rPr>
        <w:t>）</w:t>
      </w:r>
      <w:r>
        <w:rPr>
          <w:rStyle w:val="19"/>
        </w:rPr>
        <w:t>临床辅助价值</w:t>
      </w:r>
      <w:r>
        <w:t>：为医生提供可视化的长程心电演化趋势参考，特别是针对恶性心律失常的提前预警，有助于争取抢救时间；决策热力图可作为医生复核的辅助依据，降低漏诊率。</w:t>
      </w:r>
    </w:p>
    <w:p w14:paraId="3B45D875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rPr>
          <w:rStyle w:val="19"/>
          <w:rFonts w:hint="eastAsia"/>
          <w:lang w:eastAsia="zh-CN"/>
        </w:rPr>
        <w:t>（</w:t>
      </w:r>
      <w:r>
        <w:rPr>
          <w:rStyle w:val="19"/>
          <w:rFonts w:hint="eastAsia"/>
          <w:lang w:val="en-US" w:eastAsia="zh-CN"/>
        </w:rPr>
        <w:t>2）</w:t>
      </w:r>
      <w:r>
        <w:rPr>
          <w:rStyle w:val="19"/>
        </w:rPr>
        <w:t>日常监护价值</w:t>
      </w:r>
      <w:r>
        <w:t>：适用于家庭、养老院及社区医疗机构，对独居老人、心血管疾病高危人群进行长时程无感监护。相比多模态设备，单</w:t>
      </w:r>
      <w:r>
        <w:rPr>
          <w:rFonts w:hint="default" w:ascii="Times New Roman" w:hAnsi="Times New Roman" w:cs="Times New Roman"/>
        </w:rPr>
        <w:t>ECG</w:t>
      </w:r>
      <w:r>
        <w:t>方案佩戴更简便、隐私性更好，利于提高用户依从性。</w:t>
      </w:r>
    </w:p>
    <w:p w14:paraId="1B0051B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eastAsia="宋体"/>
          <w:rtl w:val="0"/>
          <w:lang w:val="en-US" w:eastAsia="zh-CN"/>
        </w:rPr>
      </w:pPr>
      <w:r>
        <w:rPr>
          <w:rStyle w:val="19"/>
          <w:rFonts w:hint="eastAsia"/>
          <w:lang w:eastAsia="zh-CN"/>
        </w:rPr>
        <w:t>（</w:t>
      </w:r>
      <w:r>
        <w:rPr>
          <w:rStyle w:val="19"/>
          <w:rFonts w:hint="eastAsia"/>
          <w:lang w:val="en-US" w:eastAsia="zh-CN"/>
        </w:rPr>
        <w:t>3</w:t>
      </w:r>
      <w:r>
        <w:rPr>
          <w:rStyle w:val="19"/>
          <w:rFonts w:hint="eastAsia"/>
          <w:lang w:eastAsia="zh-CN"/>
        </w:rPr>
        <w:t>）</w:t>
      </w:r>
      <w:r>
        <w:rPr>
          <w:rStyle w:val="19"/>
        </w:rPr>
        <w:t>院前急救价值</w:t>
      </w:r>
      <w:r>
        <w:t>：若在院外发生室速/室颤前兆，系统的提前预警功能可提示患者或家属提前服用急救药物或联系</w:t>
      </w:r>
      <w:r>
        <w:rPr>
          <w:rFonts w:hint="default" w:ascii="Times New Roman" w:hAnsi="Times New Roman" w:cs="Times New Roman"/>
        </w:rPr>
        <w:t>120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602EC39B">
      <w:pPr>
        <w:pStyle w:val="4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color w:val="1F1F1F"/>
          <w:sz w:val="30"/>
          <w:szCs w:val="30"/>
          <w:rtl w:val="0"/>
        </w:rPr>
        <w:t>4.4 展望</w:t>
      </w:r>
    </w:p>
    <w:p w14:paraId="43484C2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</w:pPr>
      <w:r>
        <w:rPr>
          <w:rStyle w:val="19"/>
          <w:rFonts w:hint="eastAsia"/>
          <w:lang w:eastAsia="zh-CN"/>
        </w:rPr>
        <w:t>（</w:t>
      </w:r>
      <w:r>
        <w:rPr>
          <w:rStyle w:val="19"/>
          <w:rFonts w:hint="eastAsia"/>
          <w:lang w:val="en-US" w:eastAsia="zh-CN"/>
        </w:rPr>
        <w:t>1</w:t>
      </w:r>
      <w:r>
        <w:rPr>
          <w:rStyle w:val="19"/>
          <w:rFonts w:hint="eastAsia"/>
          <w:lang w:eastAsia="zh-CN"/>
        </w:rPr>
        <w:t>）</w:t>
      </w:r>
      <w:r>
        <w:rPr>
          <w:rStyle w:val="19"/>
        </w:rPr>
        <w:t>硬件轻量化</w:t>
      </w:r>
      <w:r>
        <w:t>：进一步优化模型参数量，推进算法在嵌入式端（如</w:t>
      </w:r>
      <w:r>
        <w:rPr>
          <w:rFonts w:hint="default" w:ascii="Times New Roman" w:hAnsi="Times New Roman" w:cs="Times New Roman"/>
        </w:rPr>
        <w:t>Xilinx FPGA</w:t>
      </w:r>
      <w:r>
        <w:t>或</w:t>
      </w:r>
      <w:r>
        <w:rPr>
          <w:rFonts w:hint="default" w:ascii="Times New Roman" w:hAnsi="Times New Roman" w:cs="Times New Roman"/>
        </w:rPr>
        <w:t>ARM</w:t>
      </w:r>
      <w:r>
        <w:t>核心）的部署，实现脱离云端的本地化实时推理。</w:t>
      </w:r>
    </w:p>
    <w:p w14:paraId="61705C4B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</w:pPr>
      <w:r>
        <w:rPr>
          <w:rStyle w:val="19"/>
          <w:rFonts w:hint="eastAsia"/>
          <w:lang w:eastAsia="zh-CN"/>
        </w:rPr>
        <w:t>（</w:t>
      </w:r>
      <w:r>
        <w:rPr>
          <w:rStyle w:val="19"/>
          <w:rFonts w:hint="eastAsia"/>
          <w:lang w:val="en-US" w:eastAsia="zh-CN"/>
        </w:rPr>
        <w:t>2</w:t>
      </w:r>
      <w:r>
        <w:rPr>
          <w:rStyle w:val="19"/>
          <w:rFonts w:hint="eastAsia"/>
          <w:lang w:eastAsia="zh-CN"/>
        </w:rPr>
        <w:t>）</w:t>
      </w:r>
      <w:r>
        <w:rPr>
          <w:rStyle w:val="19"/>
        </w:rPr>
        <w:t>多模态拓展</w:t>
      </w:r>
      <w:r>
        <w:t>：在现有成熟的</w:t>
      </w:r>
      <w:r>
        <w:rPr>
          <w:rFonts w:hint="default" w:ascii="Times New Roman" w:hAnsi="Times New Roman" w:cs="Times New Roman"/>
        </w:rPr>
        <w:t>ECG</w:t>
      </w:r>
      <w:r>
        <w:t>架构基础上，计划引入</w:t>
      </w:r>
      <w:r>
        <w:rPr>
          <w:rFonts w:hint="default" w:ascii="Times New Roman" w:hAnsi="Times New Roman" w:cs="Times New Roman"/>
        </w:rPr>
        <w:t>PPG</w:t>
      </w:r>
      <w:r>
        <w:t>（血氧）与</w:t>
      </w:r>
      <w:r>
        <w:rPr>
          <w:rFonts w:hint="default" w:ascii="Times New Roman" w:hAnsi="Times New Roman" w:cs="Times New Roman"/>
        </w:rPr>
        <w:t>ABP</w:t>
      </w:r>
      <w:r>
        <w:t>（血压）信号，构建更全面的全生命体征评估模型。</w:t>
      </w:r>
    </w:p>
    <w:p w14:paraId="54BA87E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</w:pPr>
      <w:r>
        <w:rPr>
          <w:rStyle w:val="19"/>
          <w:rFonts w:hint="eastAsia"/>
          <w:lang w:eastAsia="zh-CN"/>
        </w:rPr>
        <w:t>（</w:t>
      </w:r>
      <w:r>
        <w:rPr>
          <w:rStyle w:val="19"/>
          <w:rFonts w:hint="eastAsia"/>
          <w:lang w:val="en-US" w:eastAsia="zh-CN"/>
        </w:rPr>
        <w:t>3</w:t>
      </w:r>
      <w:r>
        <w:rPr>
          <w:rStyle w:val="19"/>
          <w:rFonts w:hint="eastAsia"/>
          <w:lang w:eastAsia="zh-CN"/>
        </w:rPr>
        <w:t>）</w:t>
      </w:r>
      <w:r>
        <w:rPr>
          <w:rStyle w:val="19"/>
        </w:rPr>
        <w:t>数据扩充与个性化</w:t>
      </w:r>
      <w:r>
        <w:t>：收集真实临床环境数据，针对性扩充室颤/室速等少数类样本；探索个性化联邦学习模型，解决个体差异带来的泛化难题。</w:t>
      </w:r>
    </w:p>
    <w:p w14:paraId="2A023665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</w:pPr>
      <w:r>
        <w:rPr>
          <w:rStyle w:val="19"/>
          <w:rFonts w:hint="eastAsia"/>
          <w:lang w:eastAsia="zh-CN"/>
        </w:rPr>
        <w:t>（</w:t>
      </w:r>
      <w:r>
        <w:rPr>
          <w:rStyle w:val="19"/>
          <w:rFonts w:hint="eastAsia"/>
          <w:lang w:val="en-US" w:eastAsia="zh-CN"/>
        </w:rPr>
        <w:t>4</w:t>
      </w:r>
      <w:r>
        <w:rPr>
          <w:rStyle w:val="19"/>
          <w:rFonts w:hint="eastAsia"/>
          <w:lang w:eastAsia="zh-CN"/>
        </w:rPr>
        <w:t>）</w:t>
      </w:r>
      <w:r>
        <w:rPr>
          <w:rStyle w:val="19"/>
        </w:rPr>
        <w:t>产品化落地</w:t>
      </w:r>
      <w:r>
        <w:t>：开发配套移动端APP，集成云同步、亲友联动预警推送及医生远程会诊入口，打造完整</w:t>
      </w:r>
      <w:bookmarkStart w:id="0" w:name="_GoBack"/>
      <w:bookmarkEnd w:id="0"/>
      <w:r>
        <w:t>的“监测-预警-干预”服务闭环。</w:t>
      </w:r>
    </w:p>
    <w:sectPr>
      <w:headerReference r:id="rId5" w:type="default"/>
      <w:footerReference r:id="rId6" w:type="default"/>
      <w:pgSz w:w="11906" w:h="16838"/>
      <w:pgMar w:top="1701" w:right="1418" w:bottom="1418" w:left="1418" w:header="907" w:footer="851" w:gutter="567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B2C4F">
    <w:pPr>
      <w:pStyle w:val="10"/>
      <w:framePr w:wrap="auto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6</w:t>
    </w:r>
    <w:r>
      <w:rPr>
        <w:rStyle w:val="20"/>
      </w:rPr>
      <w:fldChar w:fldCharType="end"/>
    </w:r>
  </w:p>
  <w:p w14:paraId="0D1F9923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7DF77">
    <w:pPr>
      <w:pStyle w:val="10"/>
      <w:rPr>
        <w:rStyle w:val="20"/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BCC90E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BCC90E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91FAD7">
                          <w:pPr>
                            <w:pStyle w:val="10"/>
                            <w:rPr>
                              <w:rFonts w:hint="default"/>
                              <w:lang w:val="en-US" w:eastAsia="zh-C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91FAD7">
                    <w:pPr>
                      <w:pStyle w:val="10"/>
                      <w:rPr>
                        <w:rFonts w:hint="default"/>
                        <w:lang w:val="en-US"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0298DDD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0376E">
    <w:pPr>
      <w:pStyle w:val="11"/>
      <w:rPr>
        <w:b/>
        <w:bCs/>
        <w:sz w:val="28"/>
        <w:szCs w:val="28"/>
      </w:rPr>
    </w:pPr>
    <w:r>
      <w:rPr>
        <w:rFonts w:hint="eastAsia"/>
        <w:b/>
        <w:bCs/>
        <w:sz w:val="28"/>
        <w:szCs w:val="28"/>
      </w:rPr>
      <w:t>作品名称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3E7D0">
    <w:pPr>
      <w:pStyle w:val="11"/>
      <w:jc w:val="both"/>
      <w:rPr>
        <w:rFonts w:hint="default"/>
        <w:lang w:val="en-US"/>
      </w:rPr>
    </w:pPr>
    <w:r>
      <w:rPr>
        <w:rFonts w:hint="eastAsia" w:ascii="宋体" w:hAnsi="宋体" w:cs="宋体"/>
        <w:color w:val="000000"/>
        <w:kern w:val="0"/>
        <w:lang w:bidi="ar"/>
      </w:rPr>
      <w:t>基于</w:t>
    </w:r>
    <w:r>
      <w:rPr>
        <w:rFonts w:hint="eastAsia" w:ascii="宋体" w:hAnsi="宋体" w:cs="宋体"/>
        <w:color w:val="000000"/>
        <w:kern w:val="0"/>
        <w:lang w:val="en-US" w:eastAsia="zh-CN" w:bidi="ar"/>
      </w:rPr>
      <w:t>多模态融合的智能心电预警</w:t>
    </w:r>
    <w:r>
      <w:rPr>
        <w:rFonts w:hint="eastAsia" w:ascii="宋体" w:hAnsi="宋体" w:cs="宋体"/>
        <w:color w:val="000000"/>
        <w:kern w:val="0"/>
        <w:lang w:bidi="ar"/>
      </w:rPr>
      <w:t>系统设计</w:t>
    </w:r>
    <w:r>
      <w:rPr>
        <w:rFonts w:hint="eastAsia" w:ascii="宋体" w:hAnsi="宋体" w:cs="宋体"/>
        <w:color w:val="000000"/>
        <w:kern w:val="0"/>
        <w:lang w:val="en-US" w:eastAsia="zh-CN" w:bidi="ar"/>
      </w:rPr>
      <w:t>及应用</w:t>
    </w:r>
    <w:r>
      <w:rPr>
        <w:rFonts w:hint="eastAsia"/>
      </w:rPr>
      <w:t xml:space="preserve">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51549"/>
    <w:multiLevelType w:val="singleLevel"/>
    <w:tmpl w:val="9A1515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MyMTliMTAyZDRmYTMzNDUxM2IzZTJjODVkODJjNTYifQ=="/>
  </w:docVars>
  <w:rsids>
    <w:rsidRoot w:val="001B6EA2"/>
    <w:rsid w:val="000117B3"/>
    <w:rsid w:val="0001223B"/>
    <w:rsid w:val="00016A80"/>
    <w:rsid w:val="0002323D"/>
    <w:rsid w:val="00025CCC"/>
    <w:rsid w:val="00033DF5"/>
    <w:rsid w:val="00036C19"/>
    <w:rsid w:val="00050CE1"/>
    <w:rsid w:val="000773AE"/>
    <w:rsid w:val="000779D7"/>
    <w:rsid w:val="000A607D"/>
    <w:rsid w:val="000B0F1A"/>
    <w:rsid w:val="000B1753"/>
    <w:rsid w:val="000B75FD"/>
    <w:rsid w:val="000D7AE9"/>
    <w:rsid w:val="00115F90"/>
    <w:rsid w:val="0012375A"/>
    <w:rsid w:val="00135850"/>
    <w:rsid w:val="00160279"/>
    <w:rsid w:val="00166D95"/>
    <w:rsid w:val="00172856"/>
    <w:rsid w:val="00175E75"/>
    <w:rsid w:val="001A6B7B"/>
    <w:rsid w:val="001A7B8E"/>
    <w:rsid w:val="001B6EA2"/>
    <w:rsid w:val="001C08B4"/>
    <w:rsid w:val="001C3216"/>
    <w:rsid w:val="001D43EB"/>
    <w:rsid w:val="001E4955"/>
    <w:rsid w:val="00200638"/>
    <w:rsid w:val="00207610"/>
    <w:rsid w:val="0022555E"/>
    <w:rsid w:val="002A19AB"/>
    <w:rsid w:val="002A4AF7"/>
    <w:rsid w:val="002C000F"/>
    <w:rsid w:val="002C6967"/>
    <w:rsid w:val="002F5662"/>
    <w:rsid w:val="002F60A2"/>
    <w:rsid w:val="003453B7"/>
    <w:rsid w:val="0035521C"/>
    <w:rsid w:val="00360BBA"/>
    <w:rsid w:val="003640E2"/>
    <w:rsid w:val="00365364"/>
    <w:rsid w:val="00395D59"/>
    <w:rsid w:val="003D4CC3"/>
    <w:rsid w:val="003D6BB6"/>
    <w:rsid w:val="003F6FB3"/>
    <w:rsid w:val="0041794F"/>
    <w:rsid w:val="0043326A"/>
    <w:rsid w:val="00433366"/>
    <w:rsid w:val="004408F2"/>
    <w:rsid w:val="0045753D"/>
    <w:rsid w:val="004579D2"/>
    <w:rsid w:val="004C78AB"/>
    <w:rsid w:val="00505A84"/>
    <w:rsid w:val="005202D3"/>
    <w:rsid w:val="00524905"/>
    <w:rsid w:val="0056148C"/>
    <w:rsid w:val="00563E56"/>
    <w:rsid w:val="005A0F8C"/>
    <w:rsid w:val="005B04A9"/>
    <w:rsid w:val="005B08FE"/>
    <w:rsid w:val="005D105D"/>
    <w:rsid w:val="005E1541"/>
    <w:rsid w:val="005F0AAA"/>
    <w:rsid w:val="00602AAE"/>
    <w:rsid w:val="00604F42"/>
    <w:rsid w:val="00607CB2"/>
    <w:rsid w:val="00620598"/>
    <w:rsid w:val="006426A3"/>
    <w:rsid w:val="006427E4"/>
    <w:rsid w:val="006615EF"/>
    <w:rsid w:val="006965CA"/>
    <w:rsid w:val="006D1071"/>
    <w:rsid w:val="006D40C2"/>
    <w:rsid w:val="0071747B"/>
    <w:rsid w:val="00763B7D"/>
    <w:rsid w:val="00780B8D"/>
    <w:rsid w:val="00784899"/>
    <w:rsid w:val="007977FE"/>
    <w:rsid w:val="00797800"/>
    <w:rsid w:val="007B4E94"/>
    <w:rsid w:val="007F735E"/>
    <w:rsid w:val="00817894"/>
    <w:rsid w:val="008210D3"/>
    <w:rsid w:val="00825728"/>
    <w:rsid w:val="008467BB"/>
    <w:rsid w:val="0084684B"/>
    <w:rsid w:val="00853FCE"/>
    <w:rsid w:val="00871BF4"/>
    <w:rsid w:val="00893581"/>
    <w:rsid w:val="008B4FC2"/>
    <w:rsid w:val="008B79A4"/>
    <w:rsid w:val="008F76DE"/>
    <w:rsid w:val="009146F4"/>
    <w:rsid w:val="009345F9"/>
    <w:rsid w:val="00991468"/>
    <w:rsid w:val="009A223B"/>
    <w:rsid w:val="009C241E"/>
    <w:rsid w:val="009D79F5"/>
    <w:rsid w:val="00A02123"/>
    <w:rsid w:val="00A06281"/>
    <w:rsid w:val="00A14B2F"/>
    <w:rsid w:val="00A236CB"/>
    <w:rsid w:val="00A530FC"/>
    <w:rsid w:val="00A62EE3"/>
    <w:rsid w:val="00A64337"/>
    <w:rsid w:val="00A66769"/>
    <w:rsid w:val="00A80F7E"/>
    <w:rsid w:val="00A81F21"/>
    <w:rsid w:val="00AA1DA7"/>
    <w:rsid w:val="00AA71B9"/>
    <w:rsid w:val="00AB08F5"/>
    <w:rsid w:val="00AD0D7E"/>
    <w:rsid w:val="00AF4DD4"/>
    <w:rsid w:val="00B11EEE"/>
    <w:rsid w:val="00B12B59"/>
    <w:rsid w:val="00B338F2"/>
    <w:rsid w:val="00B41C24"/>
    <w:rsid w:val="00B71E33"/>
    <w:rsid w:val="00B80B09"/>
    <w:rsid w:val="00B83FF4"/>
    <w:rsid w:val="00B92842"/>
    <w:rsid w:val="00BB76D9"/>
    <w:rsid w:val="00C01EC2"/>
    <w:rsid w:val="00C1411B"/>
    <w:rsid w:val="00C21855"/>
    <w:rsid w:val="00C4551D"/>
    <w:rsid w:val="00CA6AC0"/>
    <w:rsid w:val="00CB00DC"/>
    <w:rsid w:val="00CB48A1"/>
    <w:rsid w:val="00CC7212"/>
    <w:rsid w:val="00CD2952"/>
    <w:rsid w:val="00CE558D"/>
    <w:rsid w:val="00D02F8F"/>
    <w:rsid w:val="00D04955"/>
    <w:rsid w:val="00D14439"/>
    <w:rsid w:val="00D471E8"/>
    <w:rsid w:val="00D575B1"/>
    <w:rsid w:val="00D63F36"/>
    <w:rsid w:val="00D66062"/>
    <w:rsid w:val="00D705D8"/>
    <w:rsid w:val="00D714EF"/>
    <w:rsid w:val="00D82B07"/>
    <w:rsid w:val="00D87A31"/>
    <w:rsid w:val="00DC3295"/>
    <w:rsid w:val="00DE4BE5"/>
    <w:rsid w:val="00E4388C"/>
    <w:rsid w:val="00E440DF"/>
    <w:rsid w:val="00E56045"/>
    <w:rsid w:val="00E82270"/>
    <w:rsid w:val="00E90669"/>
    <w:rsid w:val="00ED68D4"/>
    <w:rsid w:val="00F04399"/>
    <w:rsid w:val="00F27E59"/>
    <w:rsid w:val="00F41145"/>
    <w:rsid w:val="00F62BCA"/>
    <w:rsid w:val="00F63BB2"/>
    <w:rsid w:val="00FB31B7"/>
    <w:rsid w:val="00FC5D9D"/>
    <w:rsid w:val="00FD2CFE"/>
    <w:rsid w:val="00FE4E3F"/>
    <w:rsid w:val="01F33470"/>
    <w:rsid w:val="0CC8074F"/>
    <w:rsid w:val="0FB77D34"/>
    <w:rsid w:val="0FCC70AF"/>
    <w:rsid w:val="10D12BCF"/>
    <w:rsid w:val="13374C8F"/>
    <w:rsid w:val="1A0F503E"/>
    <w:rsid w:val="1B4C4122"/>
    <w:rsid w:val="1D0460DA"/>
    <w:rsid w:val="1F09387E"/>
    <w:rsid w:val="21E4583C"/>
    <w:rsid w:val="25F86E78"/>
    <w:rsid w:val="26525145"/>
    <w:rsid w:val="2BF64172"/>
    <w:rsid w:val="2CEB696E"/>
    <w:rsid w:val="32894C60"/>
    <w:rsid w:val="33700939"/>
    <w:rsid w:val="346A0AC1"/>
    <w:rsid w:val="35FA28B2"/>
    <w:rsid w:val="369B5099"/>
    <w:rsid w:val="3DED7E48"/>
    <w:rsid w:val="3EE6680F"/>
    <w:rsid w:val="3F610BB8"/>
    <w:rsid w:val="46C57F68"/>
    <w:rsid w:val="47B74D74"/>
    <w:rsid w:val="484A7335"/>
    <w:rsid w:val="49492F43"/>
    <w:rsid w:val="49AA2C5F"/>
    <w:rsid w:val="4F343D4D"/>
    <w:rsid w:val="56341832"/>
    <w:rsid w:val="56D7393C"/>
    <w:rsid w:val="57D63BF4"/>
    <w:rsid w:val="59EE7A27"/>
    <w:rsid w:val="5C684D6B"/>
    <w:rsid w:val="5CA97E33"/>
    <w:rsid w:val="5D0E5BDE"/>
    <w:rsid w:val="5D8E5686"/>
    <w:rsid w:val="5DA026D7"/>
    <w:rsid w:val="5DC907DC"/>
    <w:rsid w:val="5F04373C"/>
    <w:rsid w:val="61652E22"/>
    <w:rsid w:val="64DB0A9B"/>
    <w:rsid w:val="667C29B5"/>
    <w:rsid w:val="69750303"/>
    <w:rsid w:val="69D361E5"/>
    <w:rsid w:val="69E41219"/>
    <w:rsid w:val="6C9003BD"/>
    <w:rsid w:val="6DB43AD4"/>
    <w:rsid w:val="705B1CE9"/>
    <w:rsid w:val="716144FC"/>
    <w:rsid w:val="74051691"/>
    <w:rsid w:val="74982505"/>
    <w:rsid w:val="757F72EC"/>
    <w:rsid w:val="77BC475C"/>
    <w:rsid w:val="785E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outlineLvl w:val="0"/>
    </w:pPr>
    <w:rPr>
      <w:sz w:val="32"/>
      <w:szCs w:val="20"/>
    </w:rPr>
  </w:style>
  <w:style w:type="paragraph" w:styleId="3">
    <w:name w:val="heading 2"/>
    <w:basedOn w:val="1"/>
    <w:next w:val="1"/>
    <w:autoRedefine/>
    <w:qFormat/>
    <w:uiPriority w:val="0"/>
    <w:pPr>
      <w:keepNext/>
      <w:ind w:firstLine="2875"/>
      <w:outlineLvl w:val="1"/>
    </w:pPr>
    <w:rPr>
      <w:rFonts w:eastAsia="楷体_GB2312"/>
      <w:sz w:val="28"/>
    </w:rPr>
  </w:style>
  <w:style w:type="paragraph" w:styleId="4">
    <w:name w:val="heading 3"/>
    <w:basedOn w:val="1"/>
    <w:next w:val="1"/>
    <w:autoRedefine/>
    <w:qFormat/>
    <w:uiPriority w:val="0"/>
    <w:pPr>
      <w:keepNext/>
      <w:jc w:val="center"/>
      <w:outlineLvl w:val="2"/>
    </w:pPr>
    <w:rPr>
      <w:rFonts w:eastAsia="楷体_GB2312"/>
      <w:b/>
      <w:bCs/>
      <w:sz w:val="32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3"/>
    <w:autoRedefine/>
    <w:qFormat/>
    <w:uiPriority w:val="0"/>
    <w:pPr>
      <w:jc w:val="left"/>
    </w:pPr>
  </w:style>
  <w:style w:type="paragraph" w:styleId="7">
    <w:name w:val="Body Text"/>
    <w:basedOn w:val="1"/>
    <w:autoRedefine/>
    <w:qFormat/>
    <w:uiPriority w:val="0"/>
    <w:pPr>
      <w:spacing w:before="240"/>
      <w:jc w:val="center"/>
    </w:pPr>
    <w:rPr>
      <w:sz w:val="32"/>
      <w:szCs w:val="20"/>
    </w:rPr>
  </w:style>
  <w:style w:type="paragraph" w:styleId="8">
    <w:name w:val="Body Text Indent"/>
    <w:basedOn w:val="1"/>
    <w:autoRedefine/>
    <w:qFormat/>
    <w:uiPriority w:val="0"/>
    <w:pPr>
      <w:spacing w:before="240"/>
      <w:ind w:firstLine="484" w:firstLineChars="205"/>
    </w:pPr>
    <w:rPr>
      <w:rFonts w:ascii="宋体" w:hAnsi="宋体"/>
      <w:sz w:val="24"/>
    </w:rPr>
  </w:style>
  <w:style w:type="paragraph" w:styleId="9">
    <w:name w:val="Balloon Text"/>
    <w:basedOn w:val="1"/>
    <w:link w:val="25"/>
    <w:autoRedefine/>
    <w:qFormat/>
    <w:uiPriority w:val="0"/>
    <w:rPr>
      <w:sz w:val="18"/>
      <w:szCs w:val="18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Body Text 2"/>
    <w:basedOn w:val="1"/>
    <w:autoRedefine/>
    <w:qFormat/>
    <w:uiPriority w:val="0"/>
    <w:pPr>
      <w:jc w:val="center"/>
    </w:pPr>
    <w:rPr>
      <w:rFonts w:eastAsia="黑体"/>
      <w:sz w:val="44"/>
    </w:rPr>
  </w:style>
  <w:style w:type="paragraph" w:styleId="13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4">
    <w:name w:val="Title"/>
    <w:basedOn w:val="1"/>
    <w:autoRedefine/>
    <w:qFormat/>
    <w:uiPriority w:val="0"/>
    <w:pPr>
      <w:ind w:firstLine="630" w:firstLineChars="200"/>
      <w:jc w:val="center"/>
    </w:pPr>
    <w:rPr>
      <w:b/>
      <w:bCs/>
      <w:sz w:val="32"/>
    </w:rPr>
  </w:style>
  <w:style w:type="paragraph" w:styleId="15">
    <w:name w:val="annotation subject"/>
    <w:basedOn w:val="6"/>
    <w:next w:val="6"/>
    <w:link w:val="24"/>
    <w:autoRedefine/>
    <w:qFormat/>
    <w:uiPriority w:val="0"/>
    <w:rPr>
      <w:b/>
      <w:bCs/>
    </w:rPr>
  </w:style>
  <w:style w:type="table" w:styleId="17">
    <w:name w:val="Table Grid"/>
    <w:basedOn w:val="1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page number"/>
    <w:basedOn w:val="18"/>
    <w:autoRedefine/>
    <w:qFormat/>
    <w:uiPriority w:val="0"/>
  </w:style>
  <w:style w:type="character" w:styleId="21">
    <w:name w:val="Hyperlink"/>
    <w:autoRedefine/>
    <w:qFormat/>
    <w:uiPriority w:val="0"/>
    <w:rPr>
      <w:color w:val="0000FF"/>
      <w:u w:val="single"/>
    </w:rPr>
  </w:style>
  <w:style w:type="character" w:styleId="22">
    <w:name w:val="annotation reference"/>
    <w:autoRedefine/>
    <w:qFormat/>
    <w:uiPriority w:val="0"/>
    <w:rPr>
      <w:sz w:val="21"/>
      <w:szCs w:val="21"/>
    </w:rPr>
  </w:style>
  <w:style w:type="character" w:customStyle="1" w:styleId="23">
    <w:name w:val="批注文字 字符"/>
    <w:link w:val="6"/>
    <w:autoRedefine/>
    <w:qFormat/>
    <w:uiPriority w:val="0"/>
    <w:rPr>
      <w:kern w:val="2"/>
      <w:sz w:val="21"/>
      <w:szCs w:val="24"/>
    </w:rPr>
  </w:style>
  <w:style w:type="character" w:customStyle="1" w:styleId="24">
    <w:name w:val="批注主题 字符"/>
    <w:link w:val="15"/>
    <w:autoRedefine/>
    <w:qFormat/>
    <w:uiPriority w:val="0"/>
    <w:rPr>
      <w:b/>
      <w:bCs/>
      <w:kern w:val="2"/>
      <w:sz w:val="21"/>
      <w:szCs w:val="24"/>
    </w:rPr>
  </w:style>
  <w:style w:type="character" w:customStyle="1" w:styleId="25">
    <w:name w:val="批注框文本 字符"/>
    <w:link w:val="9"/>
    <w:autoRedefine/>
    <w:qFormat/>
    <w:uiPriority w:val="0"/>
    <w:rPr>
      <w:kern w:val="2"/>
      <w:sz w:val="18"/>
      <w:szCs w:val="18"/>
    </w:rPr>
  </w:style>
  <w:style w:type="character" w:customStyle="1" w:styleId="26">
    <w:name w:val="apple-converted-space"/>
    <w:autoRedefine/>
    <w:qFormat/>
    <w:uiPriority w:val="0"/>
  </w:style>
  <w:style w:type="paragraph" w:customStyle="1" w:styleId="27">
    <w:name w:val="11首头"/>
    <w:basedOn w:val="1"/>
    <w:autoRedefine/>
    <w:qFormat/>
    <w:uiPriority w:val="0"/>
    <w:pPr>
      <w:spacing w:line="300" w:lineRule="auto"/>
    </w:pPr>
    <w:rPr>
      <w:rFonts w:ascii="黑体" w:eastAsia="黑体"/>
      <w:b/>
      <w:sz w:val="24"/>
    </w:rPr>
  </w:style>
  <w:style w:type="paragraph" w:customStyle="1" w:styleId="28">
    <w:name w:val="Revision1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table" w:customStyle="1" w:styleId="29">
    <w:name w:val="_Style 10"/>
    <w:basedOn w:val="30"/>
    <w:qFormat/>
    <w:uiPriority w:val="0"/>
  </w:style>
  <w:style w:type="table" w:customStyle="1" w:styleId="3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11"/>
    <w:basedOn w:val="30"/>
    <w:qFormat/>
    <w:uiPriority w:val="0"/>
  </w:style>
  <w:style w:type="table" w:customStyle="1" w:styleId="32">
    <w:name w:val="_Style 12"/>
    <w:basedOn w:val="30"/>
    <w:qFormat/>
    <w:uiPriority w:val="0"/>
  </w:style>
  <w:style w:type="table" w:customStyle="1" w:styleId="33">
    <w:name w:val="_Style 13"/>
    <w:basedOn w:val="3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3155</Words>
  <Characters>3707</Characters>
  <Lines>334</Lines>
  <Paragraphs>174</Paragraphs>
  <TotalTime>33</TotalTime>
  <ScaleCrop>false</ScaleCrop>
  <LinksUpToDate>false</LinksUpToDate>
  <CharactersWithSpaces>3946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2026-04-15T09:02:00Z</dcterms:created>
  <dc:creator>lenovo</dc:creator>
  <cp:lastModifiedBy>℡</cp:lastModifiedBy>
  <cp:lastPrinted>2017-03-13T03:36:00Z</cp:lastPrinted>
  <dcterms:modified xsi:type="dcterms:W3CDTF">2026-05-24T06:44:38Z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FA940A0B56CE4EB6B205B0CF5A5B868A_13</vt:lpwstr>
  </property>
  <property fmtid="{D5CDD505-2E9C-101B-9397-08002B2CF9AE}" pid="4" name="KSOTemplateDocerSaveRecord">
    <vt:lpwstr>eyJoZGlkIjoiN2E1YzEyOWIzNTRjYmU4MGE3YjVmMzg2YjU3ZTRlYzUiLCJ1c2VySWQiOiI5MzA3OTQ2MTAifQ==</vt:lpwstr>
  </property>
</Properties>
</file>