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Microsoft YaHei"/>
          <w:b/>
          <w:color w:val="000000"/>
          <w:sz w:val="40"/>
        </w:rPr>
        <w:t>HealthMonitor 3.0 与 3.2</w:t>
        <w:br/>
        <w:t>性能与设计架构对比报告</w:t>
      </w:r>
    </w:p>
    <w:p>
      <w:pPr>
        <w:spacing w:after="240"/>
        <w:jc w:val="center"/>
      </w:pPr>
      <w:r>
        <w:rPr>
          <w:rFonts w:ascii="Calibri" w:hAnsi="Calibri" w:eastAsia="Microsoft YaHei"/>
          <w:color w:val="595959"/>
          <w:sz w:val="22"/>
        </w:rPr>
        <w:t>聚焦模型能力、报警性能、系统架构、演示稳定性和可复现性</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shd w:fill="F2F4F7"/>
          </w:tcPr>
          <w:p>
            <w:pPr>
              <w:spacing w:after="0"/>
              <w:jc w:val="center"/>
            </w:pPr>
            <w:r/>
            <w:r>
              <w:rPr>
                <w:rFonts w:ascii="Calibri" w:hAnsi="Calibri" w:eastAsia="Microsoft YaHei"/>
                <w:b/>
                <w:color w:val="202020"/>
                <w:sz w:val="18"/>
              </w:rPr>
              <w:t>项目</w:t>
            </w:r>
          </w:p>
        </w:tc>
        <w:tc>
          <w:tcPr>
            <w:tcW w:type="dxa" w:w="3528"/>
            <w:vAlign w:val="center"/>
            <w:shd w:fill="F2F4F7"/>
          </w:tcPr>
          <w:p>
            <w:pPr>
              <w:spacing w:after="0"/>
              <w:jc w:val="center"/>
            </w:pPr>
            <w:r/>
            <w:r>
              <w:rPr>
                <w:rFonts w:ascii="Calibri" w:hAnsi="Calibri" w:eastAsia="Microsoft YaHei"/>
                <w:b/>
                <w:color w:val="202020"/>
                <w:sz w:val="18"/>
              </w:rPr>
              <w:t>3.0 版本</w:t>
            </w:r>
          </w:p>
        </w:tc>
        <w:tc>
          <w:tcPr>
            <w:tcW w:type="dxa" w:w="3744"/>
            <w:vAlign w:val="center"/>
            <w:shd w:fill="F2F4F7"/>
          </w:tcPr>
          <w:p>
            <w:pPr>
              <w:spacing w:after="0"/>
              <w:jc w:val="center"/>
            </w:pPr>
            <w:r/>
            <w:r>
              <w:rPr>
                <w:rFonts w:ascii="Calibri" w:hAnsi="Calibri" w:eastAsia="Microsoft YaHei"/>
                <w:b/>
                <w:color w:val="202020"/>
                <w:sz w:val="18"/>
              </w:rPr>
              <w:t>3.2 版本</w:t>
            </w:r>
          </w:p>
        </w:tc>
      </w:tr>
      <w:tr>
        <w:tc>
          <w:tcPr>
            <w:tcW w:type="dxa" w:w="3264"/>
            <w:vAlign w:val="center"/>
          </w:tcPr>
          <w:p>
            <w:pPr>
              <w:spacing w:after="0"/>
              <w:jc w:val="left"/>
            </w:pPr>
            <w:r/>
            <w:r>
              <w:rPr>
                <w:rFonts w:ascii="Calibri" w:hAnsi="Calibri" w:eastAsia="Microsoft YaHei"/>
                <w:b w:val="0"/>
                <w:color w:val="202020"/>
                <w:sz w:val="18"/>
              </w:rPr>
              <w:t>版本定位</w:t>
            </w:r>
          </w:p>
        </w:tc>
        <w:tc>
          <w:tcPr>
            <w:tcW w:type="dxa" w:w="3264"/>
            <w:vAlign w:val="center"/>
          </w:tcPr>
          <w:p>
            <w:pPr>
              <w:spacing w:after="0"/>
              <w:jc w:val="left"/>
            </w:pPr>
            <w:r/>
            <w:r>
              <w:rPr>
                <w:rFonts w:ascii="Calibri" w:hAnsi="Calibri" w:eastAsia="Microsoft YaHei"/>
                <w:b w:val="0"/>
                <w:color w:val="202020"/>
                <w:sz w:val="18"/>
              </w:rPr>
              <w:t>早期 ECG 多分类/诊断演示原型</w:t>
            </w:r>
          </w:p>
        </w:tc>
        <w:tc>
          <w:tcPr>
            <w:tcW w:type="dxa" w:w="3264"/>
            <w:vAlign w:val="center"/>
          </w:tcPr>
          <w:p>
            <w:pPr>
              <w:spacing w:after="0"/>
              <w:jc w:val="left"/>
            </w:pPr>
            <w:r/>
            <w:r>
              <w:rPr>
                <w:rFonts w:ascii="Calibri" w:hAnsi="Calibri" w:eastAsia="Microsoft YaHei"/>
                <w:b w:val="0"/>
                <w:color w:val="202020"/>
                <w:sz w:val="18"/>
              </w:rPr>
              <w:t>提交前冻结的未来 5 分钟整体心律失常预警系统</w:t>
            </w:r>
          </w:p>
        </w:tc>
      </w:tr>
      <w:tr>
        <w:tc>
          <w:tcPr>
            <w:tcW w:type="dxa" w:w="3264"/>
            <w:vAlign w:val="center"/>
          </w:tcPr>
          <w:p>
            <w:pPr>
              <w:spacing w:after="0"/>
              <w:jc w:val="left"/>
            </w:pPr>
            <w:r/>
            <w:r>
              <w:rPr>
                <w:rFonts w:ascii="Calibri" w:hAnsi="Calibri" w:eastAsia="Microsoft YaHei"/>
                <w:b w:val="0"/>
                <w:color w:val="202020"/>
                <w:sz w:val="18"/>
              </w:rPr>
              <w:t>性能证据状态</w:t>
            </w:r>
          </w:p>
        </w:tc>
        <w:tc>
          <w:tcPr>
            <w:tcW w:type="dxa" w:w="3264"/>
            <w:vAlign w:val="center"/>
          </w:tcPr>
          <w:p>
            <w:pPr>
              <w:spacing w:after="0"/>
              <w:jc w:val="left"/>
            </w:pPr>
            <w:r/>
            <w:r>
              <w:rPr>
                <w:rFonts w:ascii="Calibri" w:hAnsi="Calibri" w:eastAsia="Microsoft YaHei"/>
                <w:b w:val="0"/>
                <w:color w:val="202020"/>
                <w:sz w:val="18"/>
              </w:rPr>
              <w:t>仅有随机盲测脚本，当前仓库未留存可复核锁定指标</w:t>
            </w:r>
          </w:p>
        </w:tc>
        <w:tc>
          <w:tcPr>
            <w:tcW w:type="dxa" w:w="3264"/>
            <w:vAlign w:val="center"/>
          </w:tcPr>
          <w:p>
            <w:pPr>
              <w:spacing w:after="0"/>
              <w:jc w:val="left"/>
            </w:pPr>
            <w:r/>
            <w:r>
              <w:rPr>
                <w:rFonts w:ascii="Calibri" w:hAnsi="Calibri" w:eastAsia="Microsoft YaHei"/>
                <w:b w:val="0"/>
                <w:color w:val="202020"/>
                <w:sz w:val="18"/>
              </w:rPr>
              <w:t>有统一指标注册表、锁定测试、外部验证和冻结演示验收</w:t>
            </w:r>
          </w:p>
        </w:tc>
      </w:tr>
      <w:tr>
        <w:tc>
          <w:tcPr>
            <w:tcW w:type="dxa" w:w="3264"/>
            <w:vAlign w:val="center"/>
          </w:tcPr>
          <w:p>
            <w:pPr>
              <w:spacing w:after="0"/>
              <w:jc w:val="left"/>
            </w:pPr>
            <w:r/>
            <w:r>
              <w:rPr>
                <w:rFonts w:ascii="Calibri" w:hAnsi="Calibri" w:eastAsia="Microsoft YaHei"/>
                <w:b w:val="0"/>
                <w:color w:val="202020"/>
                <w:sz w:val="18"/>
              </w:rPr>
              <w:t>架构成熟度</w:t>
            </w:r>
          </w:p>
        </w:tc>
        <w:tc>
          <w:tcPr>
            <w:tcW w:type="dxa" w:w="3264"/>
            <w:vAlign w:val="center"/>
          </w:tcPr>
          <w:p>
            <w:pPr>
              <w:spacing w:after="0"/>
              <w:jc w:val="left"/>
            </w:pPr>
            <w:r/>
            <w:r>
              <w:rPr>
                <w:rFonts w:ascii="Calibri" w:hAnsi="Calibri" w:eastAsia="Microsoft YaHei"/>
                <w:b w:val="0"/>
                <w:color w:val="202020"/>
                <w:sz w:val="18"/>
              </w:rPr>
              <w:t>根目录脚本式组织，API/前端/训练脚本耦合较高</w:t>
            </w:r>
          </w:p>
        </w:tc>
        <w:tc>
          <w:tcPr>
            <w:tcW w:type="dxa" w:w="3264"/>
            <w:vAlign w:val="center"/>
          </w:tcPr>
          <w:p>
            <w:pPr>
              <w:spacing w:after="0"/>
              <w:jc w:val="left"/>
            </w:pPr>
            <w:r/>
            <w:r>
              <w:rPr>
                <w:rFonts w:ascii="Calibri" w:hAnsi="Calibri" w:eastAsia="Microsoft YaHei"/>
                <w:b w:val="0"/>
                <w:color w:val="202020"/>
                <w:sz w:val="18"/>
              </w:rPr>
              <w:t>核心包、脚本、证据、测试、提交包分层清晰</w:t>
            </w:r>
          </w:p>
        </w:tc>
      </w:tr>
    </w:tbl>
    <w:p/>
    <w:p>
      <w:pPr>
        <w:pStyle w:val="Heading1"/>
      </w:pPr>
      <w:r>
        <w:rPr>
          <w:rFonts w:ascii="Calibri" w:hAnsi="Calibri" w:eastAsia="Microsoft YaHei"/>
          <w:b/>
          <w:color w:val="2E74B5"/>
          <w:sz w:val="32"/>
        </w:rPr>
        <w:t>一、对比结论</w:t>
      </w:r>
    </w:p>
    <w:p>
      <w:pPr>
        <w:spacing w:after="120" w:line="276" w:lineRule="auto"/>
      </w:pPr>
      <w:r>
        <w:rPr>
          <w:rFonts w:ascii="Calibri" w:hAnsi="Calibri" w:eastAsia="Microsoft YaHei"/>
          <w:sz w:val="21"/>
        </w:rPr>
        <w:t>3.0 版本已经具备 ECG 多分类识别、FastAPI 推理和 Streamlit 动态监护演示能力，但性能评估主要依赖随机拆分盲测脚本，缺少患者/记录级隔离、锁定测试、事件级报警和外部验证证据。</w:t>
      </w:r>
    </w:p>
    <w:p>
      <w:pPr>
        <w:spacing w:after="120" w:line="276" w:lineRule="auto"/>
      </w:pPr>
      <w:r>
        <w:rPr>
          <w:rFonts w:ascii="Calibri" w:hAnsi="Calibri" w:eastAsia="Microsoft YaHei"/>
          <w:sz w:val="21"/>
        </w:rPr>
        <w:t>3.2 版本的核心提升不是单纯更换模型，而是把系统从“可演示的多分类诊断原型”收敛为“有冻结策略、有事件级指标、有外部研究支持、有提交材料闭环”的健康预警系统。</w:t>
      </w:r>
    </w:p>
    <w:p>
      <w:pPr>
        <w:pStyle w:val="Heading1"/>
      </w:pPr>
      <w:r>
        <w:rPr>
          <w:rFonts w:ascii="Calibri" w:hAnsi="Calibri" w:eastAsia="Microsoft YaHei"/>
          <w:b/>
          <w:color w:val="2E74B5"/>
          <w:sz w:val="32"/>
        </w:rPr>
        <w:t>二、性能对比</w:t>
      </w:r>
    </w:p>
    <w:p>
      <w:pPr>
        <w:spacing w:after="120" w:line="276" w:lineRule="auto"/>
      </w:pPr>
      <w:r>
        <w:rPr>
          <w:rFonts w:ascii="Calibri" w:hAnsi="Calibri" w:eastAsia="Microsoft YaHei"/>
          <w:sz w:val="21"/>
        </w:rPr>
        <w:t>说明：3.0 分支未留存可复核的锁定测试输出，当前工作区也缺少其旧数据集和权重文件，因此不应虚构 3.0 的准确率、F1 或召回率。下表比较的是可核验证据和 3.2 已冻结指标。</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vAlign w:val="center"/>
            <w:shd w:fill="E8EEF5"/>
          </w:tcPr>
          <w:p>
            <w:pPr>
              <w:spacing w:after="0"/>
              <w:jc w:val="center"/>
            </w:pPr>
            <w:r/>
            <w:r>
              <w:rPr>
                <w:rFonts w:ascii="Calibri" w:hAnsi="Calibri" w:eastAsia="Microsoft YaHei"/>
                <w:b/>
                <w:color w:val="202020"/>
                <w:sz w:val="18"/>
              </w:rPr>
              <w:t>维度</w:t>
            </w:r>
          </w:p>
        </w:tc>
        <w:tc>
          <w:tcPr>
            <w:tcW w:type="dxa" w:w="3528"/>
            <w:vAlign w:val="center"/>
            <w:shd w:fill="E8EEF5"/>
          </w:tcPr>
          <w:p>
            <w:pPr>
              <w:spacing w:after="0"/>
              <w:jc w:val="center"/>
            </w:pPr>
            <w:r/>
            <w:r>
              <w:rPr>
                <w:rFonts w:ascii="Calibri" w:hAnsi="Calibri" w:eastAsia="Microsoft YaHei"/>
                <w:b/>
                <w:color w:val="202020"/>
                <w:sz w:val="18"/>
              </w:rPr>
              <w:t>3.0 性能证据</w:t>
            </w:r>
          </w:p>
        </w:tc>
        <w:tc>
          <w:tcPr>
            <w:tcW w:type="dxa" w:w="3888"/>
            <w:vAlign w:val="center"/>
            <w:shd w:fill="E8EEF5"/>
          </w:tcPr>
          <w:p>
            <w:pPr>
              <w:spacing w:after="0"/>
              <w:jc w:val="center"/>
            </w:pPr>
            <w:r/>
            <w:r>
              <w:rPr>
                <w:rFonts w:ascii="Calibri" w:hAnsi="Calibri" w:eastAsia="Microsoft YaHei"/>
                <w:b/>
                <w:color w:val="202020"/>
                <w:sz w:val="18"/>
              </w:rPr>
              <w:t>3.2 性能证据</w:t>
            </w:r>
          </w:p>
        </w:tc>
      </w:tr>
      <w:tr>
        <w:tc>
          <w:tcPr>
            <w:tcW w:type="dxa" w:w="3264"/>
            <w:vAlign w:val="center"/>
          </w:tcPr>
          <w:p>
            <w:pPr>
              <w:spacing w:after="0"/>
              <w:jc w:val="left"/>
            </w:pPr>
            <w:r/>
            <w:r>
              <w:rPr>
                <w:rFonts w:ascii="Calibri" w:hAnsi="Calibri" w:eastAsia="Microsoft YaHei"/>
                <w:b w:val="0"/>
                <w:color w:val="202020"/>
                <w:sz w:val="18"/>
              </w:rPr>
              <w:t>评估口径</w:t>
            </w:r>
          </w:p>
        </w:tc>
        <w:tc>
          <w:tcPr>
            <w:tcW w:type="dxa" w:w="3264"/>
            <w:vAlign w:val="center"/>
          </w:tcPr>
          <w:p>
            <w:pPr>
              <w:spacing w:after="0"/>
              <w:jc w:val="left"/>
            </w:pPr>
            <w:r/>
            <w:r>
              <w:rPr>
                <w:rFonts w:ascii="Calibri" w:hAnsi="Calibri" w:eastAsia="Microsoft YaHei"/>
                <w:b w:val="0"/>
                <w:color w:val="202020"/>
                <w:sz w:val="18"/>
              </w:rPr>
              <w:t>validation_multiclass.py 随机 30% 拆分盲测；输出 classification_report 和混淆矩阵</w:t>
            </w:r>
          </w:p>
        </w:tc>
        <w:tc>
          <w:tcPr>
            <w:tcW w:type="dxa" w:w="3264"/>
            <w:vAlign w:val="center"/>
          </w:tcPr>
          <w:p>
            <w:pPr>
              <w:spacing w:after="0"/>
              <w:jc w:val="left"/>
            </w:pPr>
            <w:r/>
            <w:r>
              <w:rPr>
                <w:rFonts w:ascii="Calibri" w:hAnsi="Calibri" w:eastAsia="Microsoft YaHei"/>
                <w:b w:val="0"/>
                <w:color w:val="202020"/>
                <w:sz w:val="18"/>
              </w:rPr>
              <w:t>患者/记录级隔离；验证集选型，锁定测试固定应用；外部 LTAFDB 冻结验证</w:t>
            </w:r>
          </w:p>
        </w:tc>
      </w:tr>
      <w:tr>
        <w:tc>
          <w:tcPr>
            <w:tcW w:type="dxa" w:w="3264"/>
            <w:vAlign w:val="center"/>
          </w:tcPr>
          <w:p>
            <w:pPr>
              <w:spacing w:after="0"/>
              <w:jc w:val="left"/>
            </w:pPr>
            <w:r/>
            <w:r>
              <w:rPr>
                <w:rFonts w:ascii="Calibri" w:hAnsi="Calibri" w:eastAsia="Microsoft YaHei"/>
                <w:b w:val="0"/>
                <w:color w:val="202020"/>
                <w:sz w:val="18"/>
              </w:rPr>
              <w:t>未来整体预警</w:t>
            </w:r>
          </w:p>
        </w:tc>
        <w:tc>
          <w:tcPr>
            <w:tcW w:type="dxa" w:w="3264"/>
            <w:vAlign w:val="center"/>
          </w:tcPr>
          <w:p>
            <w:pPr>
              <w:spacing w:after="0"/>
              <w:jc w:val="left"/>
            </w:pPr>
            <w:r/>
            <w:r>
              <w:rPr>
                <w:rFonts w:ascii="Calibri" w:hAnsi="Calibri" w:eastAsia="Microsoft YaHei"/>
                <w:b w:val="0"/>
                <w:color w:val="202020"/>
                <w:sz w:val="18"/>
              </w:rPr>
              <w:t>无独立 overall-risk 策略版本；多分类 Top-1 平滑</w:t>
            </w:r>
          </w:p>
        </w:tc>
        <w:tc>
          <w:tcPr>
            <w:tcW w:type="dxa" w:w="3264"/>
            <w:vAlign w:val="center"/>
          </w:tcPr>
          <w:p>
            <w:pPr>
              <w:spacing w:after="0"/>
              <w:jc w:val="left"/>
            </w:pPr>
            <w:r/>
            <w:r>
              <w:rPr>
                <w:rFonts w:ascii="Calibri" w:hAnsi="Calibri" w:eastAsia="Microsoft YaHei"/>
                <w:b w:val="0"/>
                <w:color w:val="202020"/>
                <w:sz w:val="18"/>
              </w:rPr>
              <w:t>策略 overall-risk-v1；阈值 0.10，EWMA alpha 0.65，连续 2 点触发</w:t>
            </w:r>
          </w:p>
        </w:tc>
      </w:tr>
      <w:tr>
        <w:tc>
          <w:tcPr>
            <w:tcW w:type="dxa" w:w="3264"/>
            <w:vAlign w:val="center"/>
          </w:tcPr>
          <w:p>
            <w:pPr>
              <w:spacing w:after="0"/>
              <w:jc w:val="left"/>
            </w:pPr>
            <w:r/>
            <w:r>
              <w:rPr>
                <w:rFonts w:ascii="Calibri" w:hAnsi="Calibri" w:eastAsia="Microsoft YaHei"/>
                <w:b w:val="0"/>
                <w:color w:val="202020"/>
                <w:sz w:val="18"/>
              </w:rPr>
              <w:t>锁定事件召回</w:t>
            </w:r>
          </w:p>
        </w:tc>
        <w:tc>
          <w:tcPr>
            <w:tcW w:type="dxa" w:w="3264"/>
            <w:vAlign w:val="center"/>
          </w:tcPr>
          <w:p>
            <w:pPr>
              <w:spacing w:after="0"/>
              <w:jc w:val="left"/>
            </w:pPr>
            <w:r/>
            <w:r>
              <w:rPr>
                <w:rFonts w:ascii="Calibri" w:hAnsi="Calibri" w:eastAsia="Microsoft YaHei"/>
                <w:b w:val="0"/>
                <w:color w:val="202020"/>
                <w:sz w:val="18"/>
              </w:rPr>
              <w:t>未留存可复核锁定事件指标</w:t>
            </w:r>
          </w:p>
        </w:tc>
        <w:tc>
          <w:tcPr>
            <w:tcW w:type="dxa" w:w="3264"/>
            <w:vAlign w:val="center"/>
          </w:tcPr>
          <w:p>
            <w:pPr>
              <w:spacing w:after="0"/>
              <w:jc w:val="left"/>
            </w:pPr>
            <w:r/>
            <w:r>
              <w:rPr>
                <w:rFonts w:ascii="Calibri" w:hAnsi="Calibri" w:eastAsia="Microsoft YaHei"/>
                <w:b w:val="0"/>
                <w:color w:val="202020"/>
                <w:sz w:val="18"/>
              </w:rPr>
              <w:t>92.5%</w:t>
            </w:r>
          </w:p>
        </w:tc>
      </w:tr>
      <w:tr>
        <w:tc>
          <w:tcPr>
            <w:tcW w:type="dxa" w:w="3264"/>
            <w:vAlign w:val="center"/>
          </w:tcPr>
          <w:p>
            <w:pPr>
              <w:spacing w:after="0"/>
              <w:jc w:val="left"/>
            </w:pPr>
            <w:r/>
            <w:r>
              <w:rPr>
                <w:rFonts w:ascii="Calibri" w:hAnsi="Calibri" w:eastAsia="Microsoft YaHei"/>
                <w:b w:val="0"/>
                <w:color w:val="202020"/>
                <w:sz w:val="18"/>
              </w:rPr>
              <w:t>incident event recall</w:t>
            </w:r>
          </w:p>
        </w:tc>
        <w:tc>
          <w:tcPr>
            <w:tcW w:type="dxa" w:w="3264"/>
            <w:vAlign w:val="center"/>
          </w:tcPr>
          <w:p>
            <w:pPr>
              <w:spacing w:after="0"/>
              <w:jc w:val="left"/>
            </w:pPr>
            <w:r/>
            <w:r>
              <w:rPr>
                <w:rFonts w:ascii="Calibri" w:hAnsi="Calibri" w:eastAsia="Microsoft YaHei"/>
                <w:b w:val="0"/>
                <w:color w:val="202020"/>
                <w:sz w:val="18"/>
              </w:rPr>
              <w:t>未留存</w:t>
            </w:r>
          </w:p>
        </w:tc>
        <w:tc>
          <w:tcPr>
            <w:tcW w:type="dxa" w:w="3264"/>
            <w:vAlign w:val="center"/>
          </w:tcPr>
          <w:p>
            <w:pPr>
              <w:spacing w:after="0"/>
              <w:jc w:val="left"/>
            </w:pPr>
            <w:r/>
            <w:r>
              <w:rPr>
                <w:rFonts w:ascii="Calibri" w:hAnsi="Calibri" w:eastAsia="Microsoft YaHei"/>
                <w:b w:val="0"/>
                <w:color w:val="202020"/>
                <w:sz w:val="18"/>
              </w:rPr>
              <w:t>89.7%</w:t>
            </w:r>
          </w:p>
        </w:tc>
      </w:tr>
      <w:tr>
        <w:tc>
          <w:tcPr>
            <w:tcW w:type="dxa" w:w="3264"/>
            <w:vAlign w:val="center"/>
          </w:tcPr>
          <w:p>
            <w:pPr>
              <w:spacing w:after="0"/>
              <w:jc w:val="left"/>
            </w:pPr>
            <w:r/>
            <w:r>
              <w:rPr>
                <w:rFonts w:ascii="Calibri" w:hAnsi="Calibri" w:eastAsia="Microsoft YaHei"/>
                <w:b w:val="0"/>
                <w:color w:val="202020"/>
                <w:sz w:val="18"/>
              </w:rPr>
              <w:t>中位提前预警</w:t>
            </w:r>
          </w:p>
        </w:tc>
        <w:tc>
          <w:tcPr>
            <w:tcW w:type="dxa" w:w="3264"/>
            <w:vAlign w:val="center"/>
          </w:tcPr>
          <w:p>
            <w:pPr>
              <w:spacing w:after="0"/>
              <w:jc w:val="left"/>
            </w:pPr>
            <w:r/>
            <w:r>
              <w:rPr>
                <w:rFonts w:ascii="Calibri" w:hAnsi="Calibri" w:eastAsia="Microsoft YaHei"/>
                <w:b w:val="0"/>
                <w:color w:val="202020"/>
                <w:sz w:val="18"/>
              </w:rPr>
              <w:t>未留存事件级提前量</w:t>
            </w:r>
          </w:p>
        </w:tc>
        <w:tc>
          <w:tcPr>
            <w:tcW w:type="dxa" w:w="3264"/>
            <w:vAlign w:val="center"/>
          </w:tcPr>
          <w:p>
            <w:pPr>
              <w:spacing w:after="0"/>
              <w:jc w:val="left"/>
            </w:pPr>
            <w:r/>
            <w:r>
              <w:rPr>
                <w:rFonts w:ascii="Calibri" w:hAnsi="Calibri" w:eastAsia="Microsoft YaHei"/>
                <w:b w:val="0"/>
                <w:color w:val="202020"/>
                <w:sz w:val="18"/>
              </w:rPr>
              <w:t>290 秒</w:t>
            </w:r>
          </w:p>
        </w:tc>
      </w:tr>
      <w:tr>
        <w:tc>
          <w:tcPr>
            <w:tcW w:type="dxa" w:w="3264"/>
            <w:vAlign w:val="center"/>
          </w:tcPr>
          <w:p>
            <w:pPr>
              <w:spacing w:after="0"/>
              <w:jc w:val="left"/>
            </w:pPr>
            <w:r/>
            <w:r>
              <w:rPr>
                <w:rFonts w:ascii="Calibri" w:hAnsi="Calibri" w:eastAsia="Microsoft YaHei"/>
                <w:b w:val="0"/>
                <w:color w:val="202020"/>
                <w:sz w:val="18"/>
              </w:rPr>
              <w:t>误报负担</w:t>
            </w:r>
          </w:p>
        </w:tc>
        <w:tc>
          <w:tcPr>
            <w:tcW w:type="dxa" w:w="3264"/>
            <w:vAlign w:val="center"/>
          </w:tcPr>
          <w:p>
            <w:pPr>
              <w:spacing w:after="0"/>
              <w:jc w:val="left"/>
            </w:pPr>
            <w:r/>
            <w:r>
              <w:rPr>
                <w:rFonts w:ascii="Calibri" w:hAnsi="Calibri" w:eastAsia="Microsoft YaHei"/>
                <w:b w:val="0"/>
                <w:color w:val="202020"/>
                <w:sz w:val="18"/>
              </w:rPr>
              <w:t>未按患者小时统计</w:t>
            </w:r>
          </w:p>
        </w:tc>
        <w:tc>
          <w:tcPr>
            <w:tcW w:type="dxa" w:w="3264"/>
            <w:vAlign w:val="center"/>
          </w:tcPr>
          <w:p>
            <w:pPr>
              <w:spacing w:after="0"/>
              <w:jc w:val="left"/>
            </w:pPr>
            <w:r/>
            <w:r>
              <w:rPr>
                <w:rFonts w:ascii="Calibri" w:hAnsi="Calibri" w:eastAsia="Microsoft YaHei"/>
                <w:b w:val="0"/>
                <w:color w:val="202020"/>
                <w:sz w:val="18"/>
              </w:rPr>
              <w:t>1.12 episodes/患者小时</w:t>
            </w:r>
          </w:p>
        </w:tc>
      </w:tr>
      <w:tr>
        <w:tc>
          <w:tcPr>
            <w:tcW w:type="dxa" w:w="3264"/>
            <w:vAlign w:val="center"/>
          </w:tcPr>
          <w:p>
            <w:pPr>
              <w:spacing w:after="0"/>
              <w:jc w:val="left"/>
            </w:pPr>
            <w:r/>
            <w:r>
              <w:rPr>
                <w:rFonts w:ascii="Calibri" w:hAnsi="Calibri" w:eastAsia="Microsoft YaHei"/>
                <w:b w:val="0"/>
                <w:color w:val="202020"/>
                <w:sz w:val="18"/>
              </w:rPr>
              <w:t>未来宏平均判别</w:t>
            </w:r>
          </w:p>
        </w:tc>
        <w:tc>
          <w:tcPr>
            <w:tcW w:type="dxa" w:w="3264"/>
            <w:vAlign w:val="center"/>
          </w:tcPr>
          <w:p>
            <w:pPr>
              <w:spacing w:after="0"/>
              <w:jc w:val="left"/>
            </w:pPr>
            <w:r/>
            <w:r>
              <w:rPr>
                <w:rFonts w:ascii="Calibri" w:hAnsi="Calibri" w:eastAsia="Microsoft YaHei"/>
                <w:b w:val="0"/>
                <w:color w:val="202020"/>
                <w:sz w:val="18"/>
              </w:rPr>
              <w:t>未留存锁定 macro-AUROC/F1</w:t>
            </w:r>
          </w:p>
        </w:tc>
        <w:tc>
          <w:tcPr>
            <w:tcW w:type="dxa" w:w="3264"/>
            <w:vAlign w:val="center"/>
          </w:tcPr>
          <w:p>
            <w:pPr>
              <w:spacing w:after="0"/>
              <w:jc w:val="left"/>
            </w:pPr>
            <w:r/>
            <w:r>
              <w:rPr>
                <w:rFonts w:ascii="Calibri" w:hAnsi="Calibri" w:eastAsia="Microsoft YaHei"/>
                <w:b w:val="0"/>
                <w:color w:val="202020"/>
                <w:sz w:val="18"/>
              </w:rPr>
              <w:t>锁定测试 future macro-AUROC 0.747，future macro-F1 0.318</w:t>
            </w:r>
          </w:p>
        </w:tc>
      </w:tr>
      <w:tr>
        <w:tc>
          <w:tcPr>
            <w:tcW w:type="dxa" w:w="3264"/>
            <w:vAlign w:val="center"/>
          </w:tcPr>
          <w:p>
            <w:pPr>
              <w:spacing w:after="0"/>
              <w:jc w:val="left"/>
            </w:pPr>
            <w:r/>
            <w:r>
              <w:rPr>
                <w:rFonts w:ascii="Calibri" w:hAnsi="Calibri" w:eastAsia="Microsoft YaHei"/>
                <w:b w:val="0"/>
                <w:color w:val="202020"/>
                <w:sz w:val="18"/>
              </w:rPr>
              <w:t>PVC 方向</w:t>
            </w:r>
          </w:p>
        </w:tc>
        <w:tc>
          <w:tcPr>
            <w:tcW w:type="dxa" w:w="3264"/>
            <w:vAlign w:val="center"/>
          </w:tcPr>
          <w:p>
            <w:pPr>
              <w:spacing w:after="0"/>
              <w:jc w:val="left"/>
            </w:pPr>
            <w:r/>
            <w:r>
              <w:rPr>
                <w:rFonts w:ascii="Calibri" w:hAnsi="Calibri" w:eastAsia="Microsoft YaHei"/>
                <w:b w:val="0"/>
                <w:color w:val="202020"/>
                <w:sz w:val="18"/>
              </w:rPr>
              <w:t>可作为类别之一演示，但无冻结证据表</w:t>
            </w:r>
          </w:p>
        </w:tc>
        <w:tc>
          <w:tcPr>
            <w:tcW w:type="dxa" w:w="3264"/>
            <w:vAlign w:val="center"/>
          </w:tcPr>
          <w:p>
            <w:pPr>
              <w:spacing w:after="0"/>
              <w:jc w:val="left"/>
            </w:pPr>
            <w:r/>
            <w:r>
              <w:rPr>
                <w:rFonts w:ascii="Calibri" w:hAnsi="Calibri" w:eastAsia="Microsoft YaHei"/>
                <w:b w:val="0"/>
                <w:color w:val="202020"/>
                <w:sz w:val="18"/>
              </w:rPr>
              <w:t>验证 PVC recall 72.1%，AUROC 0.816，AP 0.657</w:t>
            </w:r>
          </w:p>
        </w:tc>
      </w:tr>
      <w:tr>
        <w:tc>
          <w:tcPr>
            <w:tcW w:type="dxa" w:w="3264"/>
            <w:vAlign w:val="center"/>
          </w:tcPr>
          <w:p>
            <w:pPr>
              <w:spacing w:after="0"/>
              <w:jc w:val="left"/>
            </w:pPr>
            <w:r/>
            <w:r>
              <w:rPr>
                <w:rFonts w:ascii="Calibri" w:hAnsi="Calibri" w:eastAsia="Microsoft YaHei"/>
                <w:b w:val="0"/>
                <w:color w:val="202020"/>
                <w:sz w:val="18"/>
              </w:rPr>
              <w:t>AFib 外部支持</w:t>
            </w:r>
          </w:p>
        </w:tc>
        <w:tc>
          <w:tcPr>
            <w:tcW w:type="dxa" w:w="3264"/>
            <w:vAlign w:val="center"/>
          </w:tcPr>
          <w:p>
            <w:pPr>
              <w:spacing w:after="0"/>
              <w:jc w:val="left"/>
            </w:pPr>
            <w:r/>
            <w:r>
              <w:rPr>
                <w:rFonts w:ascii="Calibri" w:hAnsi="Calibri" w:eastAsia="Microsoft YaHei"/>
                <w:b w:val="0"/>
                <w:color w:val="202020"/>
                <w:sz w:val="18"/>
              </w:rPr>
              <w:t>无全库外部验证</w:t>
            </w:r>
          </w:p>
        </w:tc>
        <w:tc>
          <w:tcPr>
            <w:tcW w:type="dxa" w:w="3264"/>
            <w:vAlign w:val="center"/>
          </w:tcPr>
          <w:p>
            <w:pPr>
              <w:spacing w:after="0"/>
              <w:jc w:val="left"/>
            </w:pPr>
            <w:r/>
            <w:r>
              <w:rPr>
                <w:rFonts w:ascii="Calibri" w:hAnsi="Calibri" w:eastAsia="Microsoft YaHei"/>
                <w:b w:val="0"/>
                <w:color w:val="202020"/>
                <w:sz w:val="18"/>
              </w:rPr>
              <w:t>LTAFDB 83 记录主分析 AUROC 0.721，事件召回 61.3%，中位提前 240 秒</w:t>
            </w:r>
          </w:p>
        </w:tc>
      </w:tr>
    </w:tbl>
    <w:p/>
    <w:p>
      <w:pPr>
        <w:pStyle w:val="Heading1"/>
      </w:pPr>
      <w:r>
        <w:rPr>
          <w:rFonts w:ascii="Calibri" w:hAnsi="Calibri" w:eastAsia="Microsoft YaHei"/>
          <w:b/>
          <w:color w:val="2E74B5"/>
          <w:sz w:val="32"/>
        </w:rPr>
        <w:t>三、模型设计架构对比</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vAlign w:val="center"/>
            <w:shd w:fill="E8EEF5"/>
          </w:tcPr>
          <w:p>
            <w:pPr>
              <w:spacing w:after="0"/>
              <w:jc w:val="center"/>
            </w:pPr>
            <w:r/>
            <w:r>
              <w:rPr>
                <w:rFonts w:ascii="Calibri" w:hAnsi="Calibri" w:eastAsia="Microsoft YaHei"/>
                <w:b/>
                <w:color w:val="202020"/>
                <w:sz w:val="18"/>
              </w:rPr>
              <w:t>架构层</w:t>
            </w:r>
          </w:p>
        </w:tc>
        <w:tc>
          <w:tcPr>
            <w:tcW w:type="dxa" w:w="3528"/>
            <w:vAlign w:val="center"/>
            <w:shd w:fill="E8EEF5"/>
          </w:tcPr>
          <w:p>
            <w:pPr>
              <w:spacing w:after="0"/>
              <w:jc w:val="center"/>
            </w:pPr>
            <w:r/>
            <w:r>
              <w:rPr>
                <w:rFonts w:ascii="Calibri" w:hAnsi="Calibri" w:eastAsia="Microsoft YaHei"/>
                <w:b/>
                <w:color w:val="202020"/>
                <w:sz w:val="18"/>
              </w:rPr>
              <w:t>3.0</w:t>
            </w:r>
          </w:p>
        </w:tc>
        <w:tc>
          <w:tcPr>
            <w:tcW w:type="dxa" w:w="3888"/>
            <w:vAlign w:val="center"/>
            <w:shd w:fill="E8EEF5"/>
          </w:tcPr>
          <w:p>
            <w:pPr>
              <w:spacing w:after="0"/>
              <w:jc w:val="center"/>
            </w:pPr>
            <w:r/>
            <w:r>
              <w:rPr>
                <w:rFonts w:ascii="Calibri" w:hAnsi="Calibri" w:eastAsia="Microsoft YaHei"/>
                <w:b/>
                <w:color w:val="202020"/>
                <w:sz w:val="18"/>
              </w:rPr>
              <w:t>3.2</w:t>
            </w:r>
          </w:p>
        </w:tc>
      </w:tr>
      <w:tr>
        <w:tc>
          <w:tcPr>
            <w:tcW w:type="dxa" w:w="3264"/>
            <w:vAlign w:val="center"/>
          </w:tcPr>
          <w:p>
            <w:pPr>
              <w:spacing w:after="0"/>
              <w:jc w:val="left"/>
            </w:pPr>
            <w:r/>
            <w:r>
              <w:rPr>
                <w:rFonts w:ascii="Calibri" w:hAnsi="Calibri" w:eastAsia="Microsoft YaHei"/>
                <w:b w:val="0"/>
                <w:color w:val="202020"/>
                <w:sz w:val="18"/>
              </w:rPr>
              <w:t>输入组织</w:t>
            </w:r>
          </w:p>
        </w:tc>
        <w:tc>
          <w:tcPr>
            <w:tcW w:type="dxa" w:w="3264"/>
            <w:vAlign w:val="center"/>
          </w:tcPr>
          <w:p>
            <w:pPr>
              <w:spacing w:after="0"/>
              <w:jc w:val="left"/>
            </w:pPr>
            <w:r/>
            <w:r>
              <w:rPr>
                <w:rFonts w:ascii="Calibri" w:hAnsi="Calibri" w:eastAsia="Microsoft YaHei"/>
                <w:b w:val="0"/>
                <w:color w:val="202020"/>
                <w:sz w:val="18"/>
              </w:rPr>
              <w:t>10 分钟信号被 reshape 为 300 个短窗口，每窗 500 点</w:t>
            </w:r>
          </w:p>
        </w:tc>
        <w:tc>
          <w:tcPr>
            <w:tcW w:type="dxa" w:w="3264"/>
            <w:vAlign w:val="center"/>
          </w:tcPr>
          <w:p>
            <w:pPr>
              <w:spacing w:after="0"/>
              <w:jc w:val="left"/>
            </w:pPr>
            <w:r/>
            <w:r>
              <w:rPr>
                <w:rFonts w:ascii="Calibri" w:hAnsi="Calibri" w:eastAsia="Microsoft YaHei"/>
                <w:b w:val="0"/>
                <w:color w:val="202020"/>
                <w:sz w:val="18"/>
              </w:rPr>
              <w:t>过去 10 分钟单导联 ECG 轨迹样本，结合 RR 统计特征，预测未来 5 分钟风险</w:t>
            </w:r>
          </w:p>
        </w:tc>
      </w:tr>
      <w:tr>
        <w:tc>
          <w:tcPr>
            <w:tcW w:type="dxa" w:w="3264"/>
            <w:vAlign w:val="center"/>
          </w:tcPr>
          <w:p>
            <w:pPr>
              <w:spacing w:after="0"/>
              <w:jc w:val="left"/>
            </w:pPr>
            <w:r/>
            <w:r>
              <w:rPr>
                <w:rFonts w:ascii="Calibri" w:hAnsi="Calibri" w:eastAsia="Microsoft YaHei"/>
                <w:b w:val="0"/>
                <w:color w:val="202020"/>
                <w:sz w:val="18"/>
              </w:rPr>
              <w:t>特征提取</w:t>
            </w:r>
          </w:p>
        </w:tc>
        <w:tc>
          <w:tcPr>
            <w:tcW w:type="dxa" w:w="3264"/>
            <w:vAlign w:val="center"/>
          </w:tcPr>
          <w:p>
            <w:pPr>
              <w:spacing w:after="0"/>
              <w:jc w:val="left"/>
            </w:pPr>
            <w:r/>
            <w:r>
              <w:rPr>
                <w:rFonts w:ascii="Calibri" w:hAnsi="Calibri" w:eastAsia="Microsoft YaHei"/>
                <w:b w:val="0"/>
                <w:color w:val="202020"/>
                <w:sz w:val="18"/>
              </w:rPr>
              <w:t>1D-CNN 提取局部形态，TCN 捕捉时序演变</w:t>
            </w:r>
          </w:p>
        </w:tc>
        <w:tc>
          <w:tcPr>
            <w:tcW w:type="dxa" w:w="3264"/>
            <w:vAlign w:val="center"/>
          </w:tcPr>
          <w:p>
            <w:pPr>
              <w:spacing w:after="0"/>
              <w:jc w:val="left"/>
            </w:pPr>
            <w:r/>
            <w:r>
              <w:rPr>
                <w:rFonts w:ascii="Calibri" w:hAnsi="Calibri" w:eastAsia="Microsoft YaHei"/>
                <w:b w:val="0"/>
                <w:color w:val="202020"/>
                <w:sz w:val="18"/>
              </w:rPr>
              <w:t>PTB-XL 预训练心电编码器 + RR 特征编码器 + 序列融合</w:t>
            </w:r>
          </w:p>
        </w:tc>
      </w:tr>
      <w:tr>
        <w:tc>
          <w:tcPr>
            <w:tcW w:type="dxa" w:w="3264"/>
            <w:vAlign w:val="center"/>
          </w:tcPr>
          <w:p>
            <w:pPr>
              <w:spacing w:after="0"/>
              <w:jc w:val="left"/>
            </w:pPr>
            <w:r/>
            <w:r>
              <w:rPr>
                <w:rFonts w:ascii="Calibri" w:hAnsi="Calibri" w:eastAsia="Microsoft YaHei"/>
                <w:b w:val="0"/>
                <w:color w:val="202020"/>
                <w:sz w:val="18"/>
              </w:rPr>
              <w:t>时序建模</w:t>
            </w:r>
          </w:p>
        </w:tc>
        <w:tc>
          <w:tcPr>
            <w:tcW w:type="dxa" w:w="3264"/>
            <w:vAlign w:val="center"/>
          </w:tcPr>
          <w:p>
            <w:pPr>
              <w:spacing w:after="0"/>
              <w:jc w:val="left"/>
            </w:pPr>
            <w:r/>
            <w:r>
              <w:rPr>
                <w:rFonts w:ascii="Calibri" w:hAnsi="Calibri" w:eastAsia="Microsoft YaHei"/>
                <w:b w:val="0"/>
                <w:color w:val="202020"/>
                <w:sz w:val="18"/>
              </w:rPr>
              <w:t>TCN 残差块、全局 skip 和稀疏注意力</w:t>
            </w:r>
          </w:p>
        </w:tc>
        <w:tc>
          <w:tcPr>
            <w:tcW w:type="dxa" w:w="3264"/>
            <w:vAlign w:val="center"/>
          </w:tcPr>
          <w:p>
            <w:pPr>
              <w:spacing w:after="0"/>
              <w:jc w:val="left"/>
            </w:pPr>
            <w:r/>
            <w:r>
              <w:rPr>
                <w:rFonts w:ascii="Calibri" w:hAnsi="Calibri" w:eastAsia="Microsoft YaHei"/>
                <w:b w:val="0"/>
                <w:color w:val="202020"/>
                <w:sz w:val="18"/>
              </w:rPr>
              <w:t>窗口级 ECG 编码后进行轨迹级融合，显式服务未来风险预测</w:t>
            </w:r>
          </w:p>
        </w:tc>
      </w:tr>
      <w:tr>
        <w:tc>
          <w:tcPr>
            <w:tcW w:type="dxa" w:w="3264"/>
            <w:vAlign w:val="center"/>
          </w:tcPr>
          <w:p>
            <w:pPr>
              <w:spacing w:after="0"/>
              <w:jc w:val="left"/>
            </w:pPr>
            <w:r/>
            <w:r>
              <w:rPr>
                <w:rFonts w:ascii="Calibri" w:hAnsi="Calibri" w:eastAsia="Microsoft YaHei"/>
                <w:b w:val="0"/>
                <w:color w:val="202020"/>
                <w:sz w:val="18"/>
              </w:rPr>
              <w:t>输出头</w:t>
            </w:r>
          </w:p>
        </w:tc>
        <w:tc>
          <w:tcPr>
            <w:tcW w:type="dxa" w:w="3264"/>
            <w:vAlign w:val="center"/>
          </w:tcPr>
          <w:p>
            <w:pPr>
              <w:spacing w:after="0"/>
              <w:jc w:val="left"/>
            </w:pPr>
            <w:r/>
            <w:r>
              <w:rPr>
                <w:rFonts w:ascii="Calibri" w:hAnsi="Calibri" w:eastAsia="Microsoft YaHei"/>
                <w:b w:val="0"/>
                <w:color w:val="202020"/>
                <w:sz w:val="18"/>
              </w:rPr>
              <w:t>单一 6 分类 head，输出当前诊断式类别概率</w:t>
            </w:r>
          </w:p>
        </w:tc>
        <w:tc>
          <w:tcPr>
            <w:tcW w:type="dxa" w:w="3264"/>
            <w:vAlign w:val="center"/>
          </w:tcPr>
          <w:p>
            <w:pPr>
              <w:spacing w:after="0"/>
              <w:jc w:val="left"/>
            </w:pPr>
            <w:r/>
            <w:r>
              <w:rPr>
                <w:rFonts w:ascii="Calibri" w:hAnsi="Calibri" w:eastAsia="Microsoft YaHei"/>
                <w:b w:val="0"/>
                <w:color w:val="202020"/>
                <w:sz w:val="18"/>
              </w:rPr>
              <w:t>双头结构：当前节律监督 + 未来趋势软标签，正式报警使用整体异常风险</w:t>
            </w:r>
          </w:p>
        </w:tc>
      </w:tr>
      <w:tr>
        <w:tc>
          <w:tcPr>
            <w:tcW w:type="dxa" w:w="3264"/>
            <w:vAlign w:val="center"/>
          </w:tcPr>
          <w:p>
            <w:pPr>
              <w:spacing w:after="0"/>
              <w:jc w:val="left"/>
            </w:pPr>
            <w:r/>
            <w:r>
              <w:rPr>
                <w:rFonts w:ascii="Calibri" w:hAnsi="Calibri" w:eastAsia="Microsoft YaHei"/>
                <w:b w:val="0"/>
                <w:color w:val="202020"/>
                <w:sz w:val="18"/>
              </w:rPr>
              <w:t>集成与不确定性</w:t>
            </w:r>
          </w:p>
        </w:tc>
        <w:tc>
          <w:tcPr>
            <w:tcW w:type="dxa" w:w="3264"/>
            <w:vAlign w:val="center"/>
          </w:tcPr>
          <w:p>
            <w:pPr>
              <w:spacing w:after="0"/>
              <w:jc w:val="left"/>
            </w:pPr>
            <w:r/>
            <w:r>
              <w:rPr>
                <w:rFonts w:ascii="Calibri" w:hAnsi="Calibri" w:eastAsia="Microsoft YaHei"/>
                <w:b w:val="0"/>
                <w:color w:val="202020"/>
                <w:sz w:val="18"/>
              </w:rPr>
              <w:t>单模型权重</w:t>
            </w:r>
          </w:p>
        </w:tc>
        <w:tc>
          <w:tcPr>
            <w:tcW w:type="dxa" w:w="3264"/>
            <w:vAlign w:val="center"/>
          </w:tcPr>
          <w:p>
            <w:pPr>
              <w:spacing w:after="0"/>
              <w:jc w:val="left"/>
            </w:pPr>
            <w:r/>
            <w:r>
              <w:rPr>
                <w:rFonts w:ascii="Calibri" w:hAnsi="Calibri" w:eastAsia="Microsoft YaHei"/>
                <w:b w:val="0"/>
                <w:color w:val="202020"/>
                <w:sz w:val="18"/>
              </w:rPr>
              <w:t>三成员 logits 集成；输出模型投票数、risk std 和一致性证据</w:t>
            </w:r>
          </w:p>
        </w:tc>
      </w:tr>
      <w:tr>
        <w:tc>
          <w:tcPr>
            <w:tcW w:type="dxa" w:w="3264"/>
            <w:vAlign w:val="center"/>
          </w:tcPr>
          <w:p>
            <w:pPr>
              <w:spacing w:after="0"/>
              <w:jc w:val="left"/>
            </w:pPr>
            <w:r/>
            <w:r>
              <w:rPr>
                <w:rFonts w:ascii="Calibri" w:hAnsi="Calibri" w:eastAsia="Microsoft YaHei"/>
                <w:b w:val="0"/>
                <w:color w:val="202020"/>
                <w:sz w:val="18"/>
              </w:rPr>
              <w:t>解释性</w:t>
            </w:r>
          </w:p>
        </w:tc>
        <w:tc>
          <w:tcPr>
            <w:tcW w:type="dxa" w:w="3264"/>
            <w:vAlign w:val="center"/>
          </w:tcPr>
          <w:p>
            <w:pPr>
              <w:spacing w:after="0"/>
              <w:jc w:val="left"/>
            </w:pPr>
            <w:r/>
            <w:r>
              <w:rPr>
                <w:rFonts w:ascii="Calibri" w:hAnsi="Calibri" w:eastAsia="Microsoft YaHei"/>
                <w:b w:val="0"/>
                <w:color w:val="202020"/>
                <w:sz w:val="18"/>
              </w:rPr>
              <w:t>内置 1D-CAM 热力图</w:t>
            </w:r>
          </w:p>
        </w:tc>
        <w:tc>
          <w:tcPr>
            <w:tcW w:type="dxa" w:w="3264"/>
            <w:vAlign w:val="center"/>
          </w:tcPr>
          <w:p>
            <w:pPr>
              <w:spacing w:after="0"/>
              <w:jc w:val="left"/>
            </w:pPr>
            <w:r/>
            <w:r>
              <w:rPr>
                <w:rFonts w:ascii="Calibri" w:hAnsi="Calibri" w:eastAsia="Microsoft YaHei"/>
                <w:b w:val="0"/>
                <w:color w:val="202020"/>
                <w:sz w:val="18"/>
              </w:rPr>
              <w:t>窗口级 Grad-CAM + ECG 级 Integrated Gradients，配合 PVC 解释性证据</w:t>
            </w:r>
          </w:p>
        </w:tc>
      </w:tr>
    </w:tbl>
    <w:p/>
    <w:p>
      <w:pPr>
        <w:pStyle w:val="Heading1"/>
      </w:pPr>
      <w:r>
        <w:rPr>
          <w:rFonts w:ascii="Calibri" w:hAnsi="Calibri" w:eastAsia="Microsoft YaHei"/>
          <w:b/>
          <w:color w:val="2E74B5"/>
          <w:sz w:val="32"/>
        </w:rPr>
        <w:t>四、报警策略与安全边界对比</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vAlign w:val="center"/>
            <w:shd w:fill="E8EEF5"/>
          </w:tcPr>
          <w:p>
            <w:pPr>
              <w:spacing w:after="0"/>
              <w:jc w:val="center"/>
            </w:pPr>
            <w:r/>
            <w:r>
              <w:rPr>
                <w:rFonts w:ascii="Calibri" w:hAnsi="Calibri" w:eastAsia="Microsoft YaHei"/>
                <w:b/>
                <w:color w:val="202020"/>
                <w:sz w:val="18"/>
              </w:rPr>
              <w:t>维度</w:t>
            </w:r>
          </w:p>
        </w:tc>
        <w:tc>
          <w:tcPr>
            <w:tcW w:type="dxa" w:w="3528"/>
            <w:vAlign w:val="center"/>
            <w:shd w:fill="E8EEF5"/>
          </w:tcPr>
          <w:p>
            <w:pPr>
              <w:spacing w:after="0"/>
              <w:jc w:val="center"/>
            </w:pPr>
            <w:r/>
            <w:r>
              <w:rPr>
                <w:rFonts w:ascii="Calibri" w:hAnsi="Calibri" w:eastAsia="Microsoft YaHei"/>
                <w:b/>
                <w:color w:val="202020"/>
                <w:sz w:val="18"/>
              </w:rPr>
              <w:t>3.0</w:t>
            </w:r>
          </w:p>
        </w:tc>
        <w:tc>
          <w:tcPr>
            <w:tcW w:type="dxa" w:w="3888"/>
            <w:vAlign w:val="center"/>
            <w:shd w:fill="E8EEF5"/>
          </w:tcPr>
          <w:p>
            <w:pPr>
              <w:spacing w:after="0"/>
              <w:jc w:val="center"/>
            </w:pPr>
            <w:r/>
            <w:r>
              <w:rPr>
                <w:rFonts w:ascii="Calibri" w:hAnsi="Calibri" w:eastAsia="Microsoft YaHei"/>
                <w:b/>
                <w:color w:val="202020"/>
                <w:sz w:val="18"/>
              </w:rPr>
              <w:t>3.2</w:t>
            </w:r>
          </w:p>
        </w:tc>
      </w:tr>
      <w:tr>
        <w:tc>
          <w:tcPr>
            <w:tcW w:type="dxa" w:w="3264"/>
            <w:vAlign w:val="center"/>
          </w:tcPr>
          <w:p>
            <w:pPr>
              <w:spacing w:after="0"/>
              <w:jc w:val="left"/>
            </w:pPr>
            <w:r/>
            <w:r>
              <w:rPr>
                <w:rFonts w:ascii="Calibri" w:hAnsi="Calibri" w:eastAsia="Microsoft YaHei"/>
                <w:b w:val="0"/>
                <w:color w:val="202020"/>
                <w:sz w:val="18"/>
              </w:rPr>
              <w:t>报警定义</w:t>
            </w:r>
          </w:p>
        </w:tc>
        <w:tc>
          <w:tcPr>
            <w:tcW w:type="dxa" w:w="3264"/>
            <w:vAlign w:val="center"/>
          </w:tcPr>
          <w:p>
            <w:pPr>
              <w:spacing w:after="0"/>
              <w:jc w:val="left"/>
            </w:pPr>
            <w:r/>
            <w:r>
              <w:rPr>
                <w:rFonts w:ascii="Calibri" w:hAnsi="Calibri" w:eastAsia="Microsoft YaHei"/>
                <w:b w:val="0"/>
                <w:color w:val="202020"/>
                <w:sz w:val="18"/>
              </w:rPr>
              <w:t>多分类 Top-1 结果经最近 5 帧概率均值平滑</w:t>
            </w:r>
          </w:p>
        </w:tc>
        <w:tc>
          <w:tcPr>
            <w:tcW w:type="dxa" w:w="3264"/>
            <w:vAlign w:val="center"/>
          </w:tcPr>
          <w:p>
            <w:pPr>
              <w:spacing w:after="0"/>
              <w:jc w:val="left"/>
            </w:pPr>
            <w:r/>
            <w:r>
              <w:rPr>
                <w:rFonts w:ascii="Calibri" w:hAnsi="Calibri" w:eastAsia="Microsoft YaHei"/>
                <w:b w:val="0"/>
                <w:color w:val="202020"/>
                <w:sz w:val="18"/>
              </w:rPr>
              <w:t>正式能力限定为未来 5 分钟整体心律失常风险预警</w:t>
            </w:r>
          </w:p>
        </w:tc>
      </w:tr>
      <w:tr>
        <w:tc>
          <w:tcPr>
            <w:tcW w:type="dxa" w:w="3264"/>
            <w:vAlign w:val="center"/>
          </w:tcPr>
          <w:p>
            <w:pPr>
              <w:spacing w:after="0"/>
              <w:jc w:val="left"/>
            </w:pPr>
            <w:r/>
            <w:r>
              <w:rPr>
                <w:rFonts w:ascii="Calibri" w:hAnsi="Calibri" w:eastAsia="Microsoft YaHei"/>
                <w:b w:val="0"/>
                <w:color w:val="202020"/>
                <w:sz w:val="18"/>
              </w:rPr>
              <w:t>策略冻结</w:t>
            </w:r>
          </w:p>
        </w:tc>
        <w:tc>
          <w:tcPr>
            <w:tcW w:type="dxa" w:w="3264"/>
            <w:vAlign w:val="center"/>
          </w:tcPr>
          <w:p>
            <w:pPr>
              <w:spacing w:after="0"/>
              <w:jc w:val="left"/>
            </w:pPr>
            <w:r/>
            <w:r>
              <w:rPr>
                <w:rFonts w:ascii="Calibri" w:hAnsi="Calibri" w:eastAsia="Microsoft YaHei"/>
                <w:b w:val="0"/>
                <w:color w:val="202020"/>
                <w:sz w:val="18"/>
              </w:rPr>
              <w:t>无独立策略配置版本</w:t>
            </w:r>
          </w:p>
        </w:tc>
        <w:tc>
          <w:tcPr>
            <w:tcW w:type="dxa" w:w="3264"/>
            <w:vAlign w:val="center"/>
          </w:tcPr>
          <w:p>
            <w:pPr>
              <w:spacing w:after="0"/>
              <w:jc w:val="left"/>
            </w:pPr>
            <w:r/>
            <w:r>
              <w:rPr>
                <w:rFonts w:ascii="Calibri" w:hAnsi="Calibri" w:eastAsia="Microsoft YaHei"/>
                <w:b w:val="0"/>
                <w:color w:val="202020"/>
                <w:sz w:val="18"/>
              </w:rPr>
              <w:t>对外版本 overall-risk-v1，策略参数写入证据文件和前端</w:t>
            </w:r>
          </w:p>
        </w:tc>
      </w:tr>
      <w:tr>
        <w:tc>
          <w:tcPr>
            <w:tcW w:type="dxa" w:w="3264"/>
            <w:vAlign w:val="center"/>
          </w:tcPr>
          <w:p>
            <w:pPr>
              <w:spacing w:after="0"/>
              <w:jc w:val="left"/>
            </w:pPr>
            <w:r/>
            <w:r>
              <w:rPr>
                <w:rFonts w:ascii="Calibri" w:hAnsi="Calibri" w:eastAsia="Microsoft YaHei"/>
                <w:b w:val="0"/>
                <w:color w:val="202020"/>
                <w:sz w:val="18"/>
              </w:rPr>
              <w:t>风险输出</w:t>
            </w:r>
          </w:p>
        </w:tc>
        <w:tc>
          <w:tcPr>
            <w:tcW w:type="dxa" w:w="3264"/>
            <w:vAlign w:val="center"/>
          </w:tcPr>
          <w:p>
            <w:pPr>
              <w:spacing w:after="0"/>
              <w:jc w:val="left"/>
            </w:pPr>
            <w:r/>
            <w:r>
              <w:rPr>
                <w:rFonts w:ascii="Calibri" w:hAnsi="Calibri" w:eastAsia="Microsoft YaHei"/>
                <w:b w:val="0"/>
                <w:color w:val="202020"/>
                <w:sz w:val="18"/>
              </w:rPr>
              <w:t>future_risk_prob 实际为平滑后的 Top-1 类别概率</w:t>
            </w:r>
          </w:p>
        </w:tc>
        <w:tc>
          <w:tcPr>
            <w:tcW w:type="dxa" w:w="3264"/>
            <w:vAlign w:val="center"/>
          </w:tcPr>
          <w:p>
            <w:pPr>
              <w:spacing w:after="0"/>
              <w:jc w:val="left"/>
            </w:pPr>
            <w:r/>
            <w:r>
              <w:rPr>
                <w:rFonts w:ascii="Calibri" w:hAnsi="Calibri" w:eastAsia="Microsoft YaHei"/>
                <w:b w:val="0"/>
                <w:color w:val="202020"/>
                <w:sz w:val="18"/>
              </w:rPr>
              <w:t>overall_risk_raw = 1 - P(future Normal)，并输出 EWMA 风险</w:t>
            </w:r>
          </w:p>
        </w:tc>
      </w:tr>
      <w:tr>
        <w:tc>
          <w:tcPr>
            <w:tcW w:type="dxa" w:w="3264"/>
            <w:vAlign w:val="center"/>
          </w:tcPr>
          <w:p>
            <w:pPr>
              <w:spacing w:after="0"/>
              <w:jc w:val="left"/>
            </w:pPr>
            <w:r/>
            <w:r>
              <w:rPr>
                <w:rFonts w:ascii="Calibri" w:hAnsi="Calibri" w:eastAsia="Microsoft YaHei"/>
                <w:b w:val="0"/>
                <w:color w:val="202020"/>
                <w:sz w:val="18"/>
              </w:rPr>
              <w:t>长尾类别</w:t>
            </w:r>
          </w:p>
        </w:tc>
        <w:tc>
          <w:tcPr>
            <w:tcW w:type="dxa" w:w="3264"/>
            <w:vAlign w:val="center"/>
          </w:tcPr>
          <w:p>
            <w:pPr>
              <w:spacing w:after="0"/>
              <w:jc w:val="left"/>
            </w:pPr>
            <w:r/>
            <w:r>
              <w:rPr>
                <w:rFonts w:ascii="Calibri" w:hAnsi="Calibri" w:eastAsia="Microsoft YaHei"/>
                <w:b w:val="0"/>
                <w:color w:val="202020"/>
                <w:sz w:val="18"/>
              </w:rPr>
              <w:t>VF、VT、AT 等作为类别直接展示，容易被理解为正式能力</w:t>
            </w:r>
          </w:p>
        </w:tc>
        <w:tc>
          <w:tcPr>
            <w:tcW w:type="dxa" w:w="3264"/>
            <w:vAlign w:val="center"/>
          </w:tcPr>
          <w:p>
            <w:pPr>
              <w:spacing w:after="0"/>
              <w:jc w:val="left"/>
            </w:pPr>
            <w:r/>
            <w:r>
              <w:rPr>
                <w:rFonts w:ascii="Calibri" w:hAnsi="Calibri" w:eastAsia="Microsoft YaHei"/>
                <w:b w:val="0"/>
                <w:color w:val="202020"/>
                <w:sz w:val="18"/>
              </w:rPr>
              <w:t>VT/VF、AT/SVT 只保留为探索性边界，不作为现场成功病例宣传</w:t>
            </w:r>
          </w:p>
        </w:tc>
      </w:tr>
      <w:tr>
        <w:tc>
          <w:tcPr>
            <w:tcW w:type="dxa" w:w="3264"/>
            <w:vAlign w:val="center"/>
          </w:tcPr>
          <w:p>
            <w:pPr>
              <w:spacing w:after="0"/>
              <w:jc w:val="left"/>
            </w:pPr>
            <w:r/>
            <w:r>
              <w:rPr>
                <w:rFonts w:ascii="Calibri" w:hAnsi="Calibri" w:eastAsia="Microsoft YaHei"/>
                <w:b w:val="0"/>
                <w:color w:val="202020"/>
                <w:sz w:val="18"/>
              </w:rPr>
              <w:t>医学安全</w:t>
            </w:r>
          </w:p>
        </w:tc>
        <w:tc>
          <w:tcPr>
            <w:tcW w:type="dxa" w:w="3264"/>
            <w:vAlign w:val="center"/>
          </w:tcPr>
          <w:p>
            <w:pPr>
              <w:spacing w:after="0"/>
              <w:jc w:val="left"/>
            </w:pPr>
            <w:r/>
            <w:r>
              <w:rPr>
                <w:rFonts w:ascii="Calibri" w:hAnsi="Calibri" w:eastAsia="Microsoft YaHei"/>
                <w:b w:val="0"/>
                <w:color w:val="202020"/>
                <w:sz w:val="18"/>
              </w:rPr>
              <w:t>前端强调动态监护，但边界表述较弱</w:t>
            </w:r>
          </w:p>
        </w:tc>
        <w:tc>
          <w:tcPr>
            <w:tcW w:type="dxa" w:w="3264"/>
            <w:vAlign w:val="center"/>
          </w:tcPr>
          <w:p>
            <w:pPr>
              <w:spacing w:after="0"/>
              <w:jc w:val="left"/>
            </w:pPr>
            <w:r/>
            <w:r>
              <w:rPr>
                <w:rFonts w:ascii="Calibri" w:hAnsi="Calibri" w:eastAsia="Microsoft YaHei"/>
                <w:b w:val="0"/>
                <w:color w:val="202020"/>
                <w:sz w:val="18"/>
              </w:rPr>
              <w:t>明确“不替代临床诊断”，异常输入、低质量信号和 API 不可用有状态提示</w:t>
            </w:r>
          </w:p>
        </w:tc>
      </w:tr>
    </w:tbl>
    <w:p/>
    <w:p>
      <w:pPr>
        <w:pStyle w:val="Heading1"/>
      </w:pPr>
      <w:r>
        <w:rPr>
          <w:rFonts w:ascii="Calibri" w:hAnsi="Calibri" w:eastAsia="Microsoft YaHei"/>
          <w:b/>
          <w:color w:val="2E74B5"/>
          <w:sz w:val="32"/>
        </w:rPr>
        <w:t>五、系统工程与前端架构对比</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vAlign w:val="center"/>
            <w:shd w:fill="E8EEF5"/>
          </w:tcPr>
          <w:p>
            <w:pPr>
              <w:spacing w:after="0"/>
              <w:jc w:val="center"/>
            </w:pPr>
            <w:r/>
            <w:r>
              <w:rPr>
                <w:rFonts w:ascii="Calibri" w:hAnsi="Calibri" w:eastAsia="Microsoft YaHei"/>
                <w:b/>
                <w:color w:val="202020"/>
                <w:sz w:val="18"/>
              </w:rPr>
              <w:t>工程层</w:t>
            </w:r>
          </w:p>
        </w:tc>
        <w:tc>
          <w:tcPr>
            <w:tcW w:type="dxa" w:w="3528"/>
            <w:vAlign w:val="center"/>
            <w:shd w:fill="E8EEF5"/>
          </w:tcPr>
          <w:p>
            <w:pPr>
              <w:spacing w:after="0"/>
              <w:jc w:val="center"/>
            </w:pPr>
            <w:r/>
            <w:r>
              <w:rPr>
                <w:rFonts w:ascii="Calibri" w:hAnsi="Calibri" w:eastAsia="Microsoft YaHei"/>
                <w:b/>
                <w:color w:val="202020"/>
                <w:sz w:val="18"/>
              </w:rPr>
              <w:t>3.0</w:t>
            </w:r>
          </w:p>
        </w:tc>
        <w:tc>
          <w:tcPr>
            <w:tcW w:type="dxa" w:w="3888"/>
            <w:vAlign w:val="center"/>
            <w:shd w:fill="E8EEF5"/>
          </w:tcPr>
          <w:p>
            <w:pPr>
              <w:spacing w:after="0"/>
              <w:jc w:val="center"/>
            </w:pPr>
            <w:r/>
            <w:r>
              <w:rPr>
                <w:rFonts w:ascii="Calibri" w:hAnsi="Calibri" w:eastAsia="Microsoft YaHei"/>
                <w:b/>
                <w:color w:val="202020"/>
                <w:sz w:val="18"/>
              </w:rPr>
              <w:t>3.2</w:t>
            </w:r>
          </w:p>
        </w:tc>
      </w:tr>
      <w:tr>
        <w:tc>
          <w:tcPr>
            <w:tcW w:type="dxa" w:w="3264"/>
            <w:vAlign w:val="center"/>
          </w:tcPr>
          <w:p>
            <w:pPr>
              <w:spacing w:after="0"/>
              <w:jc w:val="left"/>
            </w:pPr>
            <w:r/>
            <w:r>
              <w:rPr>
                <w:rFonts w:ascii="Calibri" w:hAnsi="Calibri" w:eastAsia="Microsoft YaHei"/>
                <w:b w:val="0"/>
                <w:color w:val="202020"/>
                <w:sz w:val="18"/>
              </w:rPr>
              <w:t>代码组织</w:t>
            </w:r>
          </w:p>
        </w:tc>
        <w:tc>
          <w:tcPr>
            <w:tcW w:type="dxa" w:w="3264"/>
            <w:vAlign w:val="center"/>
          </w:tcPr>
          <w:p>
            <w:pPr>
              <w:spacing w:after="0"/>
              <w:jc w:val="left"/>
            </w:pPr>
            <w:r/>
            <w:r>
              <w:rPr>
                <w:rFonts w:ascii="Calibri" w:hAnsi="Calibri" w:eastAsia="Microsoft YaHei"/>
                <w:b w:val="0"/>
                <w:color w:val="202020"/>
                <w:sz w:val="18"/>
              </w:rPr>
              <w:t>根目录脚本式：main.py、dashboard.py、dl_model.py、训练脚本混排</w:t>
            </w:r>
          </w:p>
        </w:tc>
        <w:tc>
          <w:tcPr>
            <w:tcW w:type="dxa" w:w="3264"/>
            <w:vAlign w:val="center"/>
          </w:tcPr>
          <w:p>
            <w:pPr>
              <w:spacing w:after="0"/>
              <w:jc w:val="left"/>
            </w:pPr>
            <w:r/>
            <w:r>
              <w:rPr>
                <w:rFonts w:ascii="Calibri" w:hAnsi="Calibri" w:eastAsia="Microsoft YaHei"/>
                <w:b w:val="0"/>
                <w:color w:val="202020"/>
                <w:sz w:val="18"/>
              </w:rPr>
              <w:t>healthmonitor 核心包 + scripts 分层脚本 + tests 验收 + artifacts 证据</w:t>
            </w:r>
          </w:p>
        </w:tc>
      </w:tr>
      <w:tr>
        <w:tc>
          <w:tcPr>
            <w:tcW w:type="dxa" w:w="3264"/>
            <w:vAlign w:val="center"/>
          </w:tcPr>
          <w:p>
            <w:pPr>
              <w:spacing w:after="0"/>
              <w:jc w:val="left"/>
            </w:pPr>
            <w:r/>
            <w:r>
              <w:rPr>
                <w:rFonts w:ascii="Calibri" w:hAnsi="Calibri" w:eastAsia="Microsoft YaHei"/>
                <w:b w:val="0"/>
                <w:color w:val="202020"/>
                <w:sz w:val="18"/>
              </w:rPr>
              <w:t>路径管理</w:t>
            </w:r>
          </w:p>
        </w:tc>
        <w:tc>
          <w:tcPr>
            <w:tcW w:type="dxa" w:w="3264"/>
            <w:vAlign w:val="center"/>
          </w:tcPr>
          <w:p>
            <w:pPr>
              <w:spacing w:after="0"/>
              <w:jc w:val="left"/>
            </w:pPr>
            <w:r/>
            <w:r>
              <w:rPr>
                <w:rFonts w:ascii="Calibri" w:hAnsi="Calibri" w:eastAsia="Microsoft YaHei"/>
                <w:b w:val="0"/>
                <w:color w:val="202020"/>
                <w:sz w:val="18"/>
              </w:rPr>
              <w:t>多处相对路径和本地目录假设</w:t>
            </w:r>
          </w:p>
        </w:tc>
        <w:tc>
          <w:tcPr>
            <w:tcW w:type="dxa" w:w="3264"/>
            <w:vAlign w:val="center"/>
          </w:tcPr>
          <w:p>
            <w:pPr>
              <w:spacing w:after="0"/>
              <w:jc w:val="left"/>
            </w:pPr>
            <w:r/>
            <w:r>
              <w:rPr>
                <w:rFonts w:ascii="Calibri" w:hAnsi="Calibri" w:eastAsia="Microsoft YaHei"/>
                <w:b w:val="0"/>
                <w:color w:val="202020"/>
                <w:sz w:val="18"/>
              </w:rPr>
              <w:t>统一路径解析模块，支持环境变量覆盖</w:t>
            </w:r>
          </w:p>
        </w:tc>
      </w:tr>
      <w:tr>
        <w:tc>
          <w:tcPr>
            <w:tcW w:type="dxa" w:w="3264"/>
            <w:vAlign w:val="center"/>
          </w:tcPr>
          <w:p>
            <w:pPr>
              <w:spacing w:after="0"/>
              <w:jc w:val="left"/>
            </w:pPr>
            <w:r/>
            <w:r>
              <w:rPr>
                <w:rFonts w:ascii="Calibri" w:hAnsi="Calibri" w:eastAsia="Microsoft YaHei"/>
                <w:b w:val="0"/>
                <w:color w:val="202020"/>
                <w:sz w:val="18"/>
              </w:rPr>
              <w:t>API</w:t>
            </w:r>
          </w:p>
        </w:tc>
        <w:tc>
          <w:tcPr>
            <w:tcW w:type="dxa" w:w="3264"/>
            <w:vAlign w:val="center"/>
          </w:tcPr>
          <w:p>
            <w:pPr>
              <w:spacing w:after="0"/>
              <w:jc w:val="left"/>
            </w:pPr>
            <w:r/>
            <w:r>
              <w:rPr>
                <w:rFonts w:ascii="Calibri" w:hAnsi="Calibri" w:eastAsia="Microsoft YaHei"/>
                <w:b w:val="0"/>
                <w:color w:val="202020"/>
                <w:sz w:val="18"/>
              </w:rPr>
              <w:t>FastAPI 返回 pred_class、future_risk_prob、all_probs、cam_heatmap</w:t>
            </w:r>
          </w:p>
        </w:tc>
        <w:tc>
          <w:tcPr>
            <w:tcW w:type="dxa" w:w="3264"/>
            <w:vAlign w:val="center"/>
          </w:tcPr>
          <w:p>
            <w:pPr>
              <w:spacing w:after="0"/>
              <w:jc w:val="left"/>
            </w:pPr>
            <w:r/>
            <w:r>
              <w:rPr>
                <w:rFonts w:ascii="Calibri" w:hAnsi="Calibri" w:eastAsia="Microsoft YaHei"/>
                <w:b w:val="0"/>
                <w:color w:val="202020"/>
                <w:sz w:val="18"/>
              </w:rPr>
              <w:t>FastAPI 返回概率、整体风险、AFib 分数、信号质量、投票数、risk std、策略版本，兼容旧字段</w:t>
            </w:r>
          </w:p>
        </w:tc>
      </w:tr>
      <w:tr>
        <w:tc>
          <w:tcPr>
            <w:tcW w:type="dxa" w:w="3264"/>
            <w:vAlign w:val="center"/>
          </w:tcPr>
          <w:p>
            <w:pPr>
              <w:spacing w:after="0"/>
              <w:jc w:val="left"/>
            </w:pPr>
            <w:r/>
            <w:r>
              <w:rPr>
                <w:rFonts w:ascii="Calibri" w:hAnsi="Calibri" w:eastAsia="Microsoft YaHei"/>
                <w:b w:val="0"/>
                <w:color w:val="202020"/>
                <w:sz w:val="18"/>
              </w:rPr>
              <w:t>前端</w:t>
            </w:r>
          </w:p>
        </w:tc>
        <w:tc>
          <w:tcPr>
            <w:tcW w:type="dxa" w:w="3264"/>
            <w:vAlign w:val="center"/>
          </w:tcPr>
          <w:p>
            <w:pPr>
              <w:spacing w:after="0"/>
              <w:jc w:val="left"/>
            </w:pPr>
            <w:r/>
            <w:r>
              <w:rPr>
                <w:rFonts w:ascii="Calibri" w:hAnsi="Calibri" w:eastAsia="Microsoft YaHei"/>
                <w:b w:val="0"/>
                <w:color w:val="202020"/>
                <w:sz w:val="18"/>
              </w:rPr>
              <w:t>实时扫描式单页监护界面，依赖完整数据和实时 API</w:t>
            </w:r>
          </w:p>
        </w:tc>
        <w:tc>
          <w:tcPr>
            <w:tcW w:type="dxa" w:w="3264"/>
            <w:vAlign w:val="center"/>
          </w:tcPr>
          <w:p>
            <w:pPr>
              <w:spacing w:after="0"/>
              <w:jc w:val="left"/>
            </w:pPr>
            <w:r/>
            <w:r>
              <w:rPr>
                <w:rFonts w:ascii="Calibri" w:hAnsi="Calibri" w:eastAsia="Microsoft YaHei"/>
                <w:b w:val="0"/>
                <w:color w:val="202020"/>
                <w:sz w:val="18"/>
              </w:rPr>
              <w:t>三页式：监测预警、精选病例、验证证据；冻结资产可独立运行</w:t>
            </w:r>
          </w:p>
        </w:tc>
      </w:tr>
      <w:tr>
        <w:tc>
          <w:tcPr>
            <w:tcW w:type="dxa" w:w="3264"/>
            <w:vAlign w:val="center"/>
          </w:tcPr>
          <w:p>
            <w:pPr>
              <w:spacing w:after="0"/>
              <w:jc w:val="left"/>
            </w:pPr>
            <w:r/>
            <w:r>
              <w:rPr>
                <w:rFonts w:ascii="Calibri" w:hAnsi="Calibri" w:eastAsia="Microsoft YaHei"/>
                <w:b w:val="0"/>
                <w:color w:val="202020"/>
                <w:sz w:val="18"/>
              </w:rPr>
              <w:t>演示稳定性</w:t>
            </w:r>
          </w:p>
        </w:tc>
        <w:tc>
          <w:tcPr>
            <w:tcW w:type="dxa" w:w="3264"/>
            <w:vAlign w:val="center"/>
          </w:tcPr>
          <w:p>
            <w:pPr>
              <w:spacing w:after="0"/>
              <w:jc w:val="left"/>
            </w:pPr>
            <w:r/>
            <w:r>
              <w:rPr>
                <w:rFonts w:ascii="Calibri" w:hAnsi="Calibri" w:eastAsia="Microsoft YaHei"/>
                <w:b w:val="0"/>
                <w:color w:val="202020"/>
                <w:sz w:val="18"/>
              </w:rPr>
              <w:t>依赖实时加载 MIT-BIH 或硬件源，现场不确定性更高</w:t>
            </w:r>
          </w:p>
        </w:tc>
        <w:tc>
          <w:tcPr>
            <w:tcW w:type="dxa" w:w="3264"/>
            <w:vAlign w:val="center"/>
          </w:tcPr>
          <w:p>
            <w:pPr>
              <w:spacing w:after="0"/>
              <w:jc w:val="left"/>
            </w:pPr>
            <w:r/>
            <w:r>
              <w:rPr>
                <w:rFonts w:ascii="Calibri" w:hAnsi="Calibri" w:eastAsia="Microsoft YaHei"/>
                <w:b w:val="0"/>
                <w:color w:val="202020"/>
                <w:sz w:val="18"/>
              </w:rPr>
              <w:t>119、100、201 三个固定病例和默认点；223、209 只在能力边界折叠区说明</w:t>
            </w:r>
          </w:p>
        </w:tc>
      </w:tr>
      <w:tr>
        <w:tc>
          <w:tcPr>
            <w:tcW w:type="dxa" w:w="3264"/>
            <w:vAlign w:val="center"/>
          </w:tcPr>
          <w:p>
            <w:pPr>
              <w:spacing w:after="0"/>
              <w:jc w:val="left"/>
            </w:pPr>
            <w:r/>
            <w:r>
              <w:rPr>
                <w:rFonts w:ascii="Calibri" w:hAnsi="Calibri" w:eastAsia="Microsoft YaHei"/>
                <w:b w:val="0"/>
                <w:color w:val="202020"/>
                <w:sz w:val="18"/>
              </w:rPr>
              <w:t>提交材料</w:t>
            </w:r>
          </w:p>
        </w:tc>
        <w:tc>
          <w:tcPr>
            <w:tcW w:type="dxa" w:w="3264"/>
            <w:vAlign w:val="center"/>
          </w:tcPr>
          <w:p>
            <w:pPr>
              <w:spacing w:after="0"/>
              <w:jc w:val="left"/>
            </w:pPr>
            <w:r/>
            <w:r>
              <w:rPr>
                <w:rFonts w:ascii="Calibri" w:hAnsi="Calibri" w:eastAsia="Microsoft YaHei"/>
                <w:b w:val="0"/>
                <w:color w:val="202020"/>
                <w:sz w:val="18"/>
              </w:rPr>
              <w:t>无提交包闭环</w:t>
            </w:r>
          </w:p>
        </w:tc>
        <w:tc>
          <w:tcPr>
            <w:tcW w:type="dxa" w:w="3264"/>
            <w:vAlign w:val="center"/>
          </w:tcPr>
          <w:p>
            <w:pPr>
              <w:spacing w:after="0"/>
              <w:jc w:val="left"/>
            </w:pPr>
            <w:r/>
            <w:r>
              <w:rPr>
                <w:rFonts w:ascii="Calibri" w:hAnsi="Calibri" w:eastAsia="Microsoft YaHei"/>
                <w:b w:val="0"/>
                <w:color w:val="202020"/>
                <w:sz w:val="18"/>
              </w:rPr>
              <w:t>submission_bundle 包含源码、模型、冻结资产、证据、报告、说明和启动脚本</w:t>
            </w:r>
          </w:p>
        </w:tc>
      </w:tr>
    </w:tbl>
    <w:p/>
    <w:p>
      <w:pPr>
        <w:pStyle w:val="Heading1"/>
      </w:pPr>
      <w:r>
        <w:rPr>
          <w:rFonts w:ascii="Calibri" w:hAnsi="Calibri" w:eastAsia="Microsoft YaHei"/>
          <w:b/>
          <w:color w:val="2E74B5"/>
          <w:sz w:val="32"/>
        </w:rPr>
        <w:t>六、冻结演示表现</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232"/>
            <w:vAlign w:val="center"/>
            <w:shd w:fill="E8EEF5"/>
          </w:tcPr>
          <w:p>
            <w:pPr>
              <w:spacing w:after="0"/>
              <w:jc w:val="center"/>
            </w:pPr>
            <w:r/>
            <w:r>
              <w:rPr>
                <w:rFonts w:ascii="Calibri" w:hAnsi="Calibri" w:eastAsia="Microsoft YaHei"/>
                <w:b/>
                <w:color w:val="202020"/>
                <w:sz w:val="18"/>
              </w:rPr>
              <w:t>病例</w:t>
            </w:r>
          </w:p>
        </w:tc>
        <w:tc>
          <w:tcPr>
            <w:tcW w:type="dxa" w:w="1944"/>
            <w:vAlign w:val="center"/>
            <w:shd w:fill="E8EEF5"/>
          </w:tcPr>
          <w:p>
            <w:pPr>
              <w:spacing w:after="0"/>
              <w:jc w:val="center"/>
            </w:pPr>
            <w:r/>
            <w:r>
              <w:rPr>
                <w:rFonts w:ascii="Calibri" w:hAnsi="Calibri" w:eastAsia="Microsoft YaHei"/>
                <w:b/>
                <w:color w:val="202020"/>
                <w:sz w:val="18"/>
              </w:rPr>
              <w:t>默认点</w:t>
            </w:r>
          </w:p>
        </w:tc>
        <w:tc>
          <w:tcPr>
            <w:tcW w:type="dxa" w:w="5184"/>
            <w:vAlign w:val="center"/>
            <w:shd w:fill="E8EEF5"/>
          </w:tcPr>
          <w:p>
            <w:pPr>
              <w:spacing w:after="0"/>
              <w:jc w:val="center"/>
            </w:pPr>
            <w:r/>
            <w:r>
              <w:rPr>
                <w:rFonts w:ascii="Calibri" w:hAnsi="Calibri" w:eastAsia="Microsoft YaHei"/>
                <w:b/>
                <w:color w:val="202020"/>
                <w:sz w:val="18"/>
              </w:rPr>
              <w:t>3.2 冻结表现</w:t>
            </w:r>
          </w:p>
        </w:tc>
      </w:tr>
      <w:tr>
        <w:tc>
          <w:tcPr>
            <w:tcW w:type="dxa" w:w="3264"/>
            <w:vAlign w:val="center"/>
          </w:tcPr>
          <w:p>
            <w:pPr>
              <w:spacing w:after="0"/>
              <w:jc w:val="left"/>
            </w:pPr>
            <w:r/>
            <w:r>
              <w:rPr>
                <w:rFonts w:ascii="Calibri" w:hAnsi="Calibri" w:eastAsia="Microsoft YaHei"/>
                <w:b w:val="0"/>
                <w:color w:val="202020"/>
                <w:sz w:val="18"/>
              </w:rPr>
              <w:t>MIT-BIH 119 PVC</w:t>
            </w:r>
          </w:p>
        </w:tc>
        <w:tc>
          <w:tcPr>
            <w:tcW w:type="dxa" w:w="3264"/>
            <w:vAlign w:val="center"/>
          </w:tcPr>
          <w:p>
            <w:pPr>
              <w:spacing w:after="0"/>
              <w:jc w:val="left"/>
            </w:pPr>
            <w:r/>
            <w:r>
              <w:rPr>
                <w:rFonts w:ascii="Calibri" w:hAnsi="Calibri" w:eastAsia="Microsoft YaHei"/>
                <w:b w:val="0"/>
                <w:color w:val="202020"/>
                <w:sz w:val="18"/>
              </w:rPr>
              <w:t>第 4 个推理点</w:t>
            </w:r>
          </w:p>
        </w:tc>
        <w:tc>
          <w:tcPr>
            <w:tcW w:type="dxa" w:w="3264"/>
            <w:vAlign w:val="center"/>
          </w:tcPr>
          <w:p>
            <w:pPr>
              <w:spacing w:after="0"/>
              <w:jc w:val="left"/>
            </w:pPr>
            <w:r/>
            <w:r>
              <w:rPr>
                <w:rFonts w:ascii="Calibri" w:hAnsi="Calibri" w:eastAsia="Microsoft YaHei"/>
                <w:b w:val="0"/>
                <w:color w:val="202020"/>
                <w:sz w:val="18"/>
              </w:rPr>
              <w:t>整体风险 0.881；PVC 概率 0.870；投票 3/3；正式报警已触发</w:t>
            </w:r>
          </w:p>
        </w:tc>
      </w:tr>
      <w:tr>
        <w:tc>
          <w:tcPr>
            <w:tcW w:type="dxa" w:w="3264"/>
            <w:vAlign w:val="center"/>
          </w:tcPr>
          <w:p>
            <w:pPr>
              <w:spacing w:after="0"/>
              <w:jc w:val="left"/>
            </w:pPr>
            <w:r/>
            <w:r>
              <w:rPr>
                <w:rFonts w:ascii="Calibri" w:hAnsi="Calibri" w:eastAsia="Microsoft YaHei"/>
                <w:b w:val="0"/>
                <w:color w:val="202020"/>
                <w:sz w:val="18"/>
              </w:rPr>
              <w:t>MIT-BIH 100 正常</w:t>
            </w:r>
          </w:p>
        </w:tc>
        <w:tc>
          <w:tcPr>
            <w:tcW w:type="dxa" w:w="3264"/>
            <w:vAlign w:val="center"/>
          </w:tcPr>
          <w:p>
            <w:pPr>
              <w:spacing w:after="0"/>
              <w:jc w:val="left"/>
            </w:pPr>
            <w:r/>
            <w:r>
              <w:rPr>
                <w:rFonts w:ascii="Calibri" w:hAnsi="Calibri" w:eastAsia="Microsoft YaHei"/>
                <w:b w:val="0"/>
                <w:color w:val="202020"/>
                <w:sz w:val="18"/>
              </w:rPr>
              <w:t>第 17 个推理点</w:t>
            </w:r>
          </w:p>
        </w:tc>
        <w:tc>
          <w:tcPr>
            <w:tcW w:type="dxa" w:w="3264"/>
            <w:vAlign w:val="center"/>
          </w:tcPr>
          <w:p>
            <w:pPr>
              <w:spacing w:after="0"/>
              <w:jc w:val="left"/>
            </w:pPr>
            <w:r/>
            <w:r>
              <w:rPr>
                <w:rFonts w:ascii="Calibri" w:hAnsi="Calibri" w:eastAsia="Microsoft YaHei"/>
                <w:b w:val="0"/>
                <w:color w:val="202020"/>
                <w:sz w:val="18"/>
              </w:rPr>
              <w:t>Normal 概率 0.988；整体风险 0.012；无正式报警</w:t>
            </w:r>
          </w:p>
        </w:tc>
      </w:tr>
      <w:tr>
        <w:tc>
          <w:tcPr>
            <w:tcW w:type="dxa" w:w="3264"/>
            <w:vAlign w:val="center"/>
          </w:tcPr>
          <w:p>
            <w:pPr>
              <w:spacing w:after="0"/>
              <w:jc w:val="left"/>
            </w:pPr>
            <w:r/>
            <w:r>
              <w:rPr>
                <w:rFonts w:ascii="Calibri" w:hAnsi="Calibri" w:eastAsia="Microsoft YaHei"/>
                <w:b w:val="0"/>
                <w:color w:val="202020"/>
                <w:sz w:val="18"/>
              </w:rPr>
              <w:t>MIT-BIH 201 AFib 辅助</w:t>
            </w:r>
          </w:p>
        </w:tc>
        <w:tc>
          <w:tcPr>
            <w:tcW w:type="dxa" w:w="3264"/>
            <w:vAlign w:val="center"/>
          </w:tcPr>
          <w:p>
            <w:pPr>
              <w:spacing w:after="0"/>
              <w:jc w:val="left"/>
            </w:pPr>
            <w:r/>
            <w:r>
              <w:rPr>
                <w:rFonts w:ascii="Calibri" w:hAnsi="Calibri" w:eastAsia="Microsoft YaHei"/>
                <w:b w:val="0"/>
                <w:color w:val="202020"/>
                <w:sz w:val="18"/>
              </w:rPr>
              <w:t>第 10 个推理点</w:t>
            </w:r>
          </w:p>
        </w:tc>
        <w:tc>
          <w:tcPr>
            <w:tcW w:type="dxa" w:w="3264"/>
            <w:vAlign w:val="center"/>
          </w:tcPr>
          <w:p>
            <w:pPr>
              <w:spacing w:after="0"/>
              <w:jc w:val="left"/>
            </w:pPr>
            <w:r/>
            <w:r>
              <w:rPr>
                <w:rFonts w:ascii="Calibri" w:hAnsi="Calibri" w:eastAsia="Microsoft YaHei"/>
                <w:b w:val="0"/>
                <w:color w:val="202020"/>
                <w:sz w:val="18"/>
              </w:rPr>
              <w:t>AFib 方向分数 0.924；未来 AFib 概率 0.573；仅作辅助研究展示</w:t>
            </w:r>
          </w:p>
        </w:tc>
      </w:tr>
    </w:tbl>
    <w:p/>
    <w:p>
      <w:pPr>
        <w:pStyle w:val="Heading1"/>
      </w:pPr>
      <w:r>
        <w:rPr>
          <w:rFonts w:ascii="Calibri" w:hAnsi="Calibri" w:eastAsia="Microsoft YaHei"/>
          <w:b/>
          <w:color w:val="2E74B5"/>
          <w:sz w:val="32"/>
        </w:rPr>
        <w:t>七、综合评价</w:t>
      </w:r>
    </w:p>
    <w:p>
      <w:pPr>
        <w:pStyle w:val="ListBullet"/>
        <w:spacing w:after="60"/>
      </w:pPr>
      <w:r>
        <w:rPr>
          <w:rFonts w:ascii="Calibri" w:hAnsi="Calibri" w:eastAsia="Microsoft YaHei"/>
          <w:sz w:val="20"/>
        </w:rPr>
        <w:t>性能层面：3.2 首次形成锁定事件级预警指标和外部 AFib 研究支持，性能证据明显强于 3.0 的脚本式盲测状态。</w:t>
      </w:r>
    </w:p>
    <w:p>
      <w:pPr>
        <w:pStyle w:val="ListBullet"/>
        <w:spacing w:after="60"/>
      </w:pPr>
      <w:r>
        <w:rPr>
          <w:rFonts w:ascii="Calibri" w:hAnsi="Calibri" w:eastAsia="Microsoft YaHei"/>
          <w:sz w:val="20"/>
        </w:rPr>
        <w:t>架构层面：3.2 从单模型多分类诊断转向面向未来风险的双头轨迹模型和三模型集成，风险定义更贴合健康预警任务。</w:t>
      </w:r>
    </w:p>
    <w:p>
      <w:pPr>
        <w:pStyle w:val="ListBullet"/>
        <w:spacing w:after="60"/>
      </w:pPr>
      <w:r>
        <w:rPr>
          <w:rFonts w:ascii="Calibri" w:hAnsi="Calibri" w:eastAsia="Microsoft YaHei"/>
          <w:sz w:val="20"/>
        </w:rPr>
        <w:t>工程层面：3.2 将核心模块、评估脚本、冻结演示资产和提交材料拆分清楚，可复现性和演示稳定性明显提升。</w:t>
      </w:r>
    </w:p>
    <w:p>
      <w:pPr>
        <w:pStyle w:val="ListBullet"/>
        <w:spacing w:after="60"/>
      </w:pPr>
      <w:r>
        <w:rPr>
          <w:rFonts w:ascii="Calibri" w:hAnsi="Calibri" w:eastAsia="Microsoft YaHei"/>
          <w:sz w:val="20"/>
        </w:rPr>
        <w:t>边界层面：3.2 主动收缩 VT/VF、AT/SVT 等长尾能力宣传，保留为探索性边界，更符合提交前稳健口径。</w:t>
      </w:r>
    </w:p>
    <w:p>
      <w:pPr>
        <w:pStyle w:val="Heading1"/>
      </w:pPr>
      <w:r>
        <w:rPr>
          <w:rFonts w:ascii="Calibri" w:hAnsi="Calibri" w:eastAsia="Microsoft YaHei"/>
          <w:b/>
          <w:color w:val="2E74B5"/>
          <w:sz w:val="32"/>
        </w:rPr>
        <w:t>八、建议</w:t>
      </w:r>
    </w:p>
    <w:p>
      <w:pPr>
        <w:spacing w:after="120" w:line="276" w:lineRule="auto"/>
      </w:pPr>
      <w:r>
        <w:rPr>
          <w:rFonts w:ascii="Calibri" w:hAnsi="Calibri" w:eastAsia="Microsoft YaHei"/>
          <w:sz w:val="21"/>
        </w:rPr>
        <w:t>建议将 3.2 作为提交前稳定基线。后续优化不应在该分支继续扩展长尾模型或修改锁定阈值，而应只完成封面占位符、最终 DOCX/PDF、提交包 SHA-256 和四项验收记录。</w:t>
      </w:r>
    </w:p>
    <w:p>
      <w:pPr>
        <w:spacing w:after="120" w:line="276" w:lineRule="auto"/>
      </w:pPr>
      <w:r>
        <w:rPr>
          <w:rFonts w:ascii="Calibri" w:hAnsi="Calibri" w:eastAsia="Microsoft YaHei"/>
          <w:sz w:val="21"/>
        </w:rPr>
        <w:t>若未来要继续比较 3.0、3.2 与后续版本，建议每个版本都固定保存同一套指标注册表、同一套病例回放和同一套事件级评估输出，以便进行真正的逐项数值对比。</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95959"/>
        <w:sz w:val="17"/>
      </w:rPr>
      <w:t>3.0 -&gt; 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95959"/>
        <w:sz w:val="17"/>
      </w:rPr>
      <w:t>HealthMonitor 版本对比 | 性能与设计架构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HealthMonitor 3.0 与 3.2 性能与设计架构对比报告</dc:title>
  <dc:subject>ECG 心律失常健康预警系统版本对比</dc:subject>
  <dc:creator>HealthMonitor Project</dc:creator>
  <cp:keywords/>
  <dc:description>Generated from local project evidence files.</dc:description>
  <cp:lastModifiedBy/>
  <cp:revision>1</cp:revision>
  <dcterms:created xsi:type="dcterms:W3CDTF">2013-12-23T23:15:00Z</dcterms:created>
  <dcterms:modified xsi:type="dcterms:W3CDTF">2013-12-23T23:15:00Z</dcterms:modified>
  <cp:category/>
</cp:coreProperties>
</file>