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23论文选题-学生在线回答提纲（患者健康风险分析·含图表）</w:t>
      </w:r>
    </w:p>
    <w:p>
      <w:r>
        <w:rPr>
          <w:rFonts w:ascii="宋体" w:hAnsi="宋体"/>
          <w:b w:val="0"/>
          <w:sz w:val="22"/>
        </w:rPr>
        <w:t>方向：数据分析 + 机器学习 | 技术栈：Python、Flask、Pandas、scikit-learn、MySQL、ECharts</w:t>
      </w:r>
    </w:p>
    <w:p>
      <w:pPr>
        <w:pStyle w:val="Heading2"/>
      </w:pPr>
      <w:r>
        <w:t>1. 展示论文完整题目</w:t>
      </w:r>
    </w:p>
    <w:p>
      <w:r>
        <w:rPr>
          <w:rFonts w:ascii="宋体" w:hAnsi="宋体"/>
          <w:b w:val="0"/>
          <w:sz w:val="22"/>
        </w:rPr>
        <w:t>《基于临床指标数据的患者健康风险分析数据分析系统的设计与实现》</w:t>
      </w:r>
    </w:p>
    <w:p>
      <w:pPr>
        <w:pStyle w:val="Heading2"/>
      </w:pPr>
      <w:r>
        <w:t>2. 展示数据集来源（含网站）</w:t>
      </w:r>
    </w:p>
    <w:p>
      <w:r>
        <w:rPr>
          <w:rFonts w:ascii="宋体" w:hAnsi="宋体"/>
          <w:b w:val="0"/>
          <w:sz w:val="22"/>
        </w:rPr>
        <w:t>数据集来源平台：Kaggle</w:t>
      </w:r>
    </w:p>
    <w:p>
      <w:r>
        <w:rPr>
          <w:rFonts w:ascii="宋体" w:hAnsi="宋体"/>
          <w:b w:val="0"/>
          <w:sz w:val="22"/>
        </w:rPr>
        <w:t>数据集网址：https://www.kaggle.com/datasets/uom190346a/synthetic-clinical-tabular-dataset</w:t>
      </w:r>
    </w:p>
    <w:p>
      <w:r>
        <w:rPr>
          <w:rFonts w:ascii="宋体" w:hAnsi="宋体"/>
          <w:b w:val="0"/>
          <w:sz w:val="22"/>
        </w:rPr>
        <w:t>数据集名称：Synthetic Clinical Tabular Dataset（合成临床表格数据）</w:t>
      </w:r>
    </w:p>
    <w:p>
      <w:r>
        <w:rPr>
          <w:rFonts w:ascii="宋体" w:hAnsi="宋体"/>
          <w:b w:val="0"/>
          <w:sz w:val="22"/>
        </w:rPr>
        <w:t>本地目录：基于临床指标数据的患者健康风险分析数据分析系统的设计与实现 / synthetic_clinical_dataset.csv</w:t>
      </w:r>
    </w:p>
    <w:p>
      <w:pPr>
        <w:pStyle w:val="Heading2"/>
      </w:pPr>
      <w:r>
        <w:t>3. 展示原始数据文件与有效字段</w:t>
      </w:r>
    </w:p>
    <w:p>
      <w:r>
        <w:rPr>
          <w:rFonts w:ascii="宋体" w:hAnsi="宋体"/>
          <w:b w:val="0"/>
          <w:sz w:val="22"/>
        </w:rPr>
        <w:t>主数据文件 synthetic_clinical_dataset.csv —— 共 10,000 条患者记录。</w:t>
        <w:br/>
        <w:t>样本概况：平均年龄约 54.3 岁，平均 BMI 约 27.0，平均血糖约 106.0 mg/dL；糖尿病占比约 11.92%，高血压占比约 30.45%。</w:t>
        <w:br/>
        <w:t>综合风险等级分布：低风险 4,541 人、中风险 4,585 人、高风险 874 人。</w:t>
      </w:r>
    </w:p>
    <w:p>
      <w:r>
        <w:rPr>
          <w:rFonts w:ascii="宋体" w:hAnsi="宋体"/>
          <w:b w:val="0"/>
          <w:sz w:val="22"/>
        </w:rPr>
        <w:t>原始字段说明：</w:t>
      </w:r>
    </w:p>
    <w:p>
      <w:r>
        <w:rPr>
          <w:rFonts w:ascii="宋体" w:hAnsi="宋体"/>
          <w:b w:val="0"/>
          <w:sz w:val="22"/>
        </w:rPr>
        <w:t>• patient_id：患者编号</w:t>
      </w:r>
    </w:p>
    <w:p>
      <w:r>
        <w:rPr>
          <w:rFonts w:ascii="宋体" w:hAnsi="宋体"/>
          <w:b w:val="0"/>
          <w:sz w:val="22"/>
        </w:rPr>
        <w:t>• age：年龄（连续变量）</w:t>
      </w:r>
    </w:p>
    <w:p>
      <w:r>
        <w:rPr>
          <w:rFonts w:ascii="宋体" w:hAnsi="宋体"/>
          <w:b w:val="0"/>
          <w:sz w:val="22"/>
        </w:rPr>
        <w:t>• sex：性别（Male/Female）</w:t>
      </w:r>
    </w:p>
    <w:p>
      <w:r>
        <w:rPr>
          <w:rFonts w:ascii="宋体" w:hAnsi="宋体"/>
          <w:b w:val="0"/>
          <w:sz w:val="22"/>
        </w:rPr>
        <w:t>• bmi：体质指数</w:t>
      </w:r>
    </w:p>
    <w:p>
      <w:r>
        <w:rPr>
          <w:rFonts w:ascii="宋体" w:hAnsi="宋体"/>
          <w:b w:val="0"/>
          <w:sz w:val="22"/>
        </w:rPr>
        <w:t>• systolic_bp / diastolic_bp：收缩压 / 舒张压（mmHg）</w:t>
      </w:r>
    </w:p>
    <w:p>
      <w:r>
        <w:rPr>
          <w:rFonts w:ascii="宋体" w:hAnsi="宋体"/>
          <w:b w:val="0"/>
          <w:sz w:val="22"/>
        </w:rPr>
        <w:t>• glucose：血糖（mg/dL）</w:t>
      </w:r>
    </w:p>
    <w:p>
      <w:r>
        <w:rPr>
          <w:rFonts w:ascii="宋体" w:hAnsi="宋体"/>
          <w:b w:val="0"/>
          <w:sz w:val="22"/>
        </w:rPr>
        <w:t>• cholesterol：胆固醇</w:t>
      </w:r>
    </w:p>
    <w:p>
      <w:r>
        <w:rPr>
          <w:rFonts w:ascii="宋体" w:hAnsi="宋体"/>
          <w:b w:val="0"/>
          <w:sz w:val="22"/>
        </w:rPr>
        <w:t>• creatinine：肌酐</w:t>
      </w:r>
    </w:p>
    <w:p>
      <w:r>
        <w:rPr>
          <w:rFonts w:ascii="宋体" w:hAnsi="宋体"/>
          <w:b w:val="0"/>
          <w:sz w:val="22"/>
        </w:rPr>
        <w:t>• diabetes / hypertension：是否糖尿病 / 高血压（0/1）</w:t>
      </w:r>
    </w:p>
    <w:p>
      <w:r>
        <w:rPr>
          <w:rFonts w:ascii="宋体" w:hAnsi="宋体"/>
          <w:b w:val="0"/>
          <w:sz w:val="22"/>
        </w:rPr>
        <w:t>• diagnosis：诊断（Normal/Pneumonia/Heart Failure/Sepsis 等）</w:t>
      </w:r>
    </w:p>
    <w:p>
      <w:r>
        <w:rPr>
          <w:rFonts w:ascii="宋体" w:hAnsi="宋体"/>
          <w:b w:val="0"/>
          <w:sz w:val="22"/>
        </w:rPr>
        <w:t>• readmission_30d / mortality：30 天再入院 / 死亡（0/1）</w:t>
      </w:r>
    </w:p>
    <w:p>
      <w:r>
        <w:rPr>
          <w:rFonts w:ascii="宋体" w:hAnsi="宋体"/>
          <w:b w:val="0"/>
          <w:sz w:val="22"/>
        </w:rPr>
        <w:t>特征工程派生字段（原始 Kaggle 数据不含生活方式，本项目确定性派生）：</w:t>
      </w:r>
    </w:p>
    <w:p>
      <w:r>
        <w:rPr>
          <w:rFonts w:ascii="宋体" w:hAnsi="宋体"/>
          <w:b w:val="0"/>
          <w:sz w:val="22"/>
        </w:rPr>
        <w:t>• smoking / drinking：是否吸烟 / 饮酒（0/1，基于年龄、BMI、血压等概率派生，可复现）</w:t>
      </w:r>
    </w:p>
    <w:p>
      <w:r>
        <w:rPr>
          <w:rFonts w:ascii="宋体" w:hAnsi="宋体"/>
          <w:b w:val="0"/>
          <w:sz w:val="22"/>
        </w:rPr>
        <w:t>• exercise_freq：运动频率（很少/偶尔/经常/每天）</w:t>
      </w:r>
    </w:p>
    <w:p>
      <w:r>
        <w:rPr>
          <w:rFonts w:ascii="宋体" w:hAnsi="宋体"/>
          <w:b w:val="0"/>
          <w:sz w:val="22"/>
        </w:rPr>
        <w:t>• risk_level：疾病风险标签（低/中/高风险，综合诊断、死亡、再入院及慢病情况判定）</w:t>
      </w:r>
    </w:p>
    <w:p>
      <w:pPr>
        <w:pStyle w:val="Heading2"/>
      </w:pPr>
      <w:r>
        <w:t>4. 数据分析的意义与行业问题（谁受益）</w:t>
      </w:r>
    </w:p>
    <w:p>
      <w:r>
        <w:rPr>
          <w:rFonts w:ascii="宋体" w:hAnsi="宋体"/>
          <w:b w:val="0"/>
          <w:sz w:val="22"/>
        </w:rPr>
        <w:t>面向基层医疗机构与健康管理人员：分析年龄、性别、BMI、血压、胆固醇、血糖和生活方式等因素对患者健康风险的影响，建立疾病风险预测模型，为健康筛查、慢病管理和个性化干预提供依据。系统用 Pandas 清洗与特征工程、sklearn 三分类建模、Flask + ECharts 可视化看板，服务社区卫生、体检中心与健康管理岗位。</w:t>
      </w:r>
    </w:p>
    <w:p>
      <w:pPr>
        <w:pStyle w:val="Heading2"/>
      </w:pPr>
      <w:r>
        <w:t>5. 软件项目开发的技术架构</w:t>
      </w:r>
    </w:p>
    <w:p>
      <w:r>
        <w:rPr>
          <w:rFonts w:ascii="宋体" w:hAnsi="宋体"/>
          <w:b w:val="0"/>
          <w:sz w:val="22"/>
        </w:rPr>
        <w:t>数据层：CSV → Pandas 清洗与派生特征 → MySQL 入库</w:t>
        <w:br/>
        <w:t>分析层：Pandas 统计分析 + scikit-learn（GridSearchCV、随机森林多分类）</w:t>
        <w:br/>
        <w:t>服务层：Flask（注册/登录、患者列表检索翻页、风险预测接口、图表数据 API）</w:t>
        <w:br/>
        <w:t>展示层：ECharts（风险分布、年龄-BMI、吸烟饮酒交叉、血压血糖相关、混淆矩阵等≥5张）</w:t>
        <w:br/>
        <w:t>技术栈：Python、Flask、Pandas、scikit-learn、MySQL、ECharts</w:t>
      </w:r>
    </w:p>
    <w:p>
      <w:pPr>
        <w:pStyle w:val="Heading2"/>
      </w:pPr>
      <w:r>
        <w:t>6. 核心功能说明</w:t>
      </w:r>
    </w:p>
    <w:p>
      <w:r>
        <w:rPr>
          <w:rFonts w:ascii="宋体" w:hAnsi="宋体"/>
          <w:b w:val="0"/>
          <w:sz w:val="22"/>
        </w:rPr>
        <w:t>① Pandas 数据处理：读取 CSV、派生 smoking/drinking/exercise_freq/risk_level、编码入库。</w:t>
      </w:r>
    </w:p>
    <w:p>
      <w:r>
        <w:rPr>
          <w:rFonts w:ascii="宋体" w:hAnsi="宋体"/>
          <w:b w:val="0"/>
          <w:sz w:val="22"/>
        </w:rPr>
        <w:t>② 机器学习（多分类）：</w:t>
      </w:r>
    </w:p>
    <w:p>
      <w:r>
        <w:rPr>
          <w:rFonts w:ascii="宋体" w:hAnsi="宋体"/>
          <w:b w:val="0"/>
          <w:sz w:val="22"/>
        </w:rPr>
        <w:t>模型：随机森林 + GridSearchCV；目标：预测 risk_level（低/中/高风险三分类）。</w:t>
        <w:br/>
        <w:t>特征：年龄、性别、BMI、收缩压、舒张压、血糖、胆固醇、吸烟、饮酒、运动频率。</w:t>
        <w:br/>
        <w:t>实验结果（测试集）：准确率≈44.25%，加权 F1≈0.4267，高风险识别 AUC≈0.5085；最优参数：{'max_depth': 12, 'min_samples_split': 2, 'n_estimators': 150}</w:t>
      </w:r>
    </w:p>
    <w:p>
      <w:r>
        <w:rPr>
          <w:rFonts w:ascii="宋体" w:hAnsi="宋体"/>
          <w:b w:val="0"/>
          <w:sz w:val="22"/>
        </w:rPr>
        <w:t>③ 四种核心分析 + 模型评估：</w:t>
      </w:r>
    </w:p>
    <w:p>
      <w:r>
        <w:rPr>
          <w:rFonts w:ascii="宋体" w:hAnsi="宋体"/>
          <w:b w:val="0"/>
          <w:sz w:val="22"/>
        </w:rPr>
        <w:t>• 风险等级分布：低/中/高风险人数与占比（图1）</w:t>
      </w:r>
    </w:p>
    <w:p>
      <w:r>
        <w:rPr>
          <w:rFonts w:ascii="宋体" w:hAnsi="宋体"/>
          <w:b w:val="0"/>
          <w:sz w:val="22"/>
        </w:rPr>
        <w:t>• 年龄 vs BMI：散点图按风险等级着色（图2）</w:t>
      </w:r>
    </w:p>
    <w:p>
      <w:r>
        <w:rPr>
          <w:rFonts w:ascii="宋体" w:hAnsi="宋体"/>
          <w:b w:val="0"/>
          <w:sz w:val="22"/>
        </w:rPr>
        <w:t>• 吸烟×饮酒：交叉热力图展示不同生活方式组合的高风险率（图3）</w:t>
      </w:r>
    </w:p>
    <w:p>
      <w:r>
        <w:rPr>
          <w:rFonts w:ascii="宋体" w:hAnsi="宋体"/>
          <w:b w:val="0"/>
          <w:sz w:val="22"/>
        </w:rPr>
        <w:t>• 血压与血糖相关性：收缩压/舒张压与血糖散点及相关系数（图4）</w:t>
      </w:r>
    </w:p>
    <w:p>
      <w:r>
        <w:rPr>
          <w:rFonts w:ascii="宋体" w:hAnsi="宋体"/>
          <w:b w:val="0"/>
          <w:sz w:val="22"/>
        </w:rPr>
        <w:t>• 模型评估：混淆矩阵（图5）、高风险 ROC（图6）、特征重要性（图7）</w:t>
      </w:r>
    </w:p>
    <w:p>
      <w:pPr>
        <w:pStyle w:val="Heading2"/>
      </w:pPr>
      <w:r>
        <w:t>7. 图像绘制（对应分析结果）</w:t>
      </w:r>
    </w:p>
    <w:p>
      <w:r>
        <w:rPr>
          <w:rFonts w:ascii="宋体" w:hAnsi="宋体"/>
          <w:b w:val="0"/>
          <w:sz w:val="22"/>
        </w:rPr>
        <w:t>• 图1 患者健康风险等级分布柱状图</w:t>
      </w:r>
    </w:p>
    <w:p>
      <w:r>
        <w:rPr>
          <w:rFonts w:ascii="宋体" w:hAnsi="宋体"/>
          <w:b w:val="0"/>
          <w:sz w:val="22"/>
        </w:rPr>
        <w:t>• 图2 年龄与 BMI 散点图（风险等级着色）</w:t>
      </w:r>
    </w:p>
    <w:p>
      <w:r>
        <w:rPr>
          <w:rFonts w:ascii="宋体" w:hAnsi="宋体"/>
          <w:b w:val="0"/>
          <w:sz w:val="22"/>
        </w:rPr>
        <w:t>• 图3 吸烟×饮酒交叉分析热力图</w:t>
      </w:r>
    </w:p>
    <w:p>
      <w:r>
        <w:rPr>
          <w:rFonts w:ascii="宋体" w:hAnsi="宋体"/>
          <w:b w:val="0"/>
          <w:sz w:val="22"/>
        </w:rPr>
        <w:t>• 图4 血压与血糖相关性散点图</w:t>
      </w:r>
    </w:p>
    <w:p>
      <w:r>
        <w:rPr>
          <w:rFonts w:ascii="宋体" w:hAnsi="宋体"/>
          <w:b w:val="0"/>
          <w:sz w:val="22"/>
        </w:rPr>
        <w:t>• 图5 疾病风险等级预测混淆矩阵</w:t>
      </w:r>
    </w:p>
    <w:p>
      <w:r>
        <w:rPr>
          <w:rFonts w:ascii="宋体" w:hAnsi="宋体"/>
          <w:b w:val="0"/>
          <w:sz w:val="22"/>
        </w:rPr>
        <w:t>• 图6 高风险识别 ROC 曲线</w:t>
      </w:r>
    </w:p>
    <w:p>
      <w:r>
        <w:rPr>
          <w:rFonts w:ascii="宋体" w:hAnsi="宋体"/>
          <w:b w:val="0"/>
          <w:sz w:val="22"/>
        </w:rPr>
        <w:t>• 图7 关键特征重要性条形图</w:t>
      </w:r>
    </w:p>
    <w:p>
      <w:r>
        <w:br w:type="page"/>
      </w:r>
    </w:p>
    <w:p>
      <w:pPr>
        <w:pStyle w:val="Heading2"/>
      </w:pPr>
      <w:r>
        <w:t>附图（真实数据生成）</w:t>
      </w:r>
    </w:p>
    <w:p>
      <w:r>
        <w:rPr>
          <w:rFonts w:ascii="宋体" w:hAnsi="宋体"/>
          <w:b w:val="0"/>
          <w:sz w:val="22"/>
        </w:rPr>
        <w:t>图1 患者健康风险等级分布柱状图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风险等级分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/>
          <w:b w:val="0"/>
          <w:sz w:val="22"/>
        </w:rPr>
        <w:t>图2 年龄与 BMI 散点图（风险等级着色）</w:t>
      </w:r>
    </w:p>
    <w:p>
      <w:r>
        <w:drawing>
          <wp:inline xmlns:a="http://schemas.openxmlformats.org/drawingml/2006/main" xmlns:pic="http://schemas.openxmlformats.org/drawingml/2006/picture">
            <wp:extent cx="5669280" cy="35680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年龄与BM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80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/>
          <w:b w:val="0"/>
          <w:sz w:val="22"/>
        </w:rPr>
        <w:t>图3 吸烟×饮酒交叉分析热力图</w:t>
      </w:r>
    </w:p>
    <w:p>
      <w:r>
        <w:drawing>
          <wp:inline xmlns:a="http://schemas.openxmlformats.org/drawingml/2006/main" xmlns:pic="http://schemas.openxmlformats.org/drawingml/2006/picture">
            <wp:extent cx="5669280" cy="40997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吸烟饮酒交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9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/>
          <w:b w:val="0"/>
          <w:sz w:val="22"/>
        </w:rPr>
        <w:t>图4 血压与血糖相关性散点图</w:t>
      </w:r>
    </w:p>
    <w:p>
      <w:r>
        <w:drawing>
          <wp:inline xmlns:a="http://schemas.openxmlformats.org/drawingml/2006/main" xmlns:pic="http://schemas.openxmlformats.org/drawingml/2006/picture">
            <wp:extent cx="5669280" cy="2311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血压血糖相关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10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/>
          <w:b w:val="0"/>
          <w:sz w:val="22"/>
        </w:rPr>
        <w:t>图5 疾病风险等级预测混淆矩阵</w:t>
      </w:r>
    </w:p>
    <w:p>
      <w:r>
        <w:drawing>
          <wp:inline xmlns:a="http://schemas.openxmlformats.org/drawingml/2006/main" xmlns:pic="http://schemas.openxmlformats.org/drawingml/2006/picture">
            <wp:extent cx="5669280" cy="47758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混淆矩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58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/>
          <w:b w:val="0"/>
          <w:sz w:val="22"/>
        </w:rPr>
        <w:t>图6 高风险识别 ROC 曲线</w:t>
      </w:r>
    </w:p>
    <w:p>
      <w:r>
        <w:drawing>
          <wp:inline xmlns:a="http://schemas.openxmlformats.org/drawingml/2006/main" xmlns:pic="http://schemas.openxmlformats.org/drawingml/2006/picture">
            <wp:extent cx="5669280" cy="58038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ROC曲线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03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/>
          <w:b w:val="0"/>
          <w:sz w:val="22"/>
        </w:rPr>
        <w:t>图7 关键特征重要性条形图</w:t>
      </w:r>
    </w:p>
    <w:p>
      <w:r>
        <w:drawing>
          <wp:inline xmlns:a="http://schemas.openxmlformats.org/drawingml/2006/main" xmlns:pic="http://schemas.openxmlformats.org/drawingml/2006/picture">
            <wp:extent cx="5669280" cy="35647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特征重要性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47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