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 w:line="312"/>
      </w:pPr>
    </w:p>
    <w:p>
      <w:pPr>
        <w:spacing w:after="160" w:line="312"/>
        <w:jc w:val="center"/>
      </w:pPr>
      <w:r>
        <w:rPr>
          <w:rFonts w:ascii="Times New Roman" w:eastAsia="SimHei"/>
          <w:b/>
          <w:bCs/>
          <w:color w:val="1E4A8F"/>
          <w:sz w:val="56"/>
          <w:szCs w:val="56"/>
        </w:rPr>
        <w:t xml:space="preserve">Retail Decision Agent</w:t>
      </w:r>
    </w:p>
    <w:p>
      <w:pPr>
        <w:pBdr>
          <w:bottom w:val="single" w:color="1E4A8F" w:sz="6" w:space="10"/>
        </w:pBdr>
        <w:spacing w:after="900" w:line="312"/>
        <w:jc w:val="center"/>
      </w:pPr>
      <w:r>
        <w:rPr>
          <w:rFonts w:ascii="Times New Roman" w:eastAsia="SimHei"/>
          <w:b/>
          <w:bCs/>
          <w:color w:val="0B1220"/>
          <w:sz w:val="36"/>
          <w:szCs w:val="36"/>
        </w:rPr>
        <w:t xml:space="preserve">零售经营决策系统 · 产品白皮书</w:t>
      </w:r>
    </w:p>
    <w:p>
      <w:pPr>
        <w:spacing w:after="120" w:line="312"/>
        <w:jc w:val="center"/>
      </w:pPr>
      <w:r>
        <w:rPr>
          <w:rFonts w:ascii="Times New Roman" w:eastAsia="SimSun"/>
          <w:color w:val="444444"/>
          <w:sz w:val="26"/>
          <w:szCs w:val="26"/>
        </w:rPr>
        <w:t xml:space="preserve">版本 V1.0</w:t>
      </w:r>
    </w:p>
    <w:p>
      <w:pPr>
        <w:spacing w:after="1400" w:line="312"/>
        <w:jc w:val="center"/>
      </w:pPr>
      <w:r>
        <w:rPr>
          <w:rFonts w:ascii="Times New Roman" w:eastAsia="SimSun"/>
          <w:color w:val="444444"/>
          <w:sz w:val="24"/>
          <w:szCs w:val="24"/>
        </w:rPr>
        <w:t xml:space="preserve">2026 年 9 月 30 日</w:t>
      </w:r>
    </w:p>
    <w:p>
      <w:pPr>
        <w:spacing w:after="80" w:line="312"/>
        <w:jc w:val="center"/>
      </w:pPr>
      <w:r>
        <w:rPr>
          <w:rFonts w:ascii="Times New Roman" w:eastAsia="SimSun"/>
          <w:color w:val="666666"/>
          <w:sz w:val="20"/>
          <w:szCs w:val="20"/>
        </w:rPr>
        <w:t xml:space="preserve">在线预览：https://shenyuanyuan77.github.io/retail-decision-agent/</w:t>
      </w:r>
    </w:p>
    <w:p>
      <w:pPr>
        <w:jc w:val="center"/>
      </w:pPr>
      <w:r>
        <w:rPr>
          <w:rFonts w:ascii="Times New Roman" w:eastAsia="SimSun"/>
          <w:color w:val="666666"/>
          <w:sz w:val="20"/>
          <w:szCs w:val="20"/>
        </w:rPr>
        <w:t xml:space="preserve">代码仓库：https://github.com/shenyuanyuan77/retail-decision-agent</w:t>
      </w:r>
    </w:p>
    <w:p>
      <w:pPr>
        <w:sectPr>
          <w:pgSz w:w="11906" w:h="16838" w:orient="portrait"/>
          <w:pgMar w:top="1417" w:right="1701" w:bottom="1417" w:left="1701" w:header="708" w:footer="708" w:gutter="0"/>
          <w:docGrid w:linePitch="360"/>
        </w:sectPr>
      </w:pPr>
    </w:p>
    <w:p>
      <w:pPr>
        <w:pageBreakBefore/>
        <w:spacing w:after="200" w:before="200" w:line="312"/>
      </w:pPr>
      <w:r>
        <w:rPr>
          <w:rFonts w:ascii="Times New Roman" w:eastAsia="SimHei"/>
          <w:b/>
          <w:bCs/>
          <w:color w:val="1E4A8F"/>
          <w:sz w:val="32"/>
          <w:szCs w:val="32"/>
        </w:rPr>
        <w:t xml:space="preserve">功能目录</w:t>
      </w:r>
    </w:p>
    <w:p>
      <w:pPr>
        <w:spacing w:after="40" w:before="160" w:line="312"/>
      </w:pPr>
      <w:r>
        <w:rPr>
          <w:rFonts w:ascii="Times New Roman" w:eastAsia="SimHei"/>
          <w:b/>
          <w:bCs/>
          <w:color w:val="0B1220"/>
          <w:sz w:val="26"/>
          <w:szCs w:val="26"/>
        </w:rPr>
        <w:t xml:space="preserve">第一篇 产品概述</w:t>
      </w:r>
    </w:p>
    <w:p>
      <w:pPr>
        <w:spacing w:after="80" w:line="312"/>
      </w:pPr>
      <w:r>
        <w:rPr>
          <w:rFonts w:ascii="Times New Roman" w:eastAsia="SimSun"/>
          <w:color w:val="555555"/>
          <w:sz w:val="22"/>
          <w:szCs w:val="22"/>
        </w:rPr>
        <w:t xml:space="preserve">1 产品定位与核心价值 / 2 系统架构 / 3 核心能力总览（R1-R5）</w:t>
      </w:r>
    </w:p>
    <w:p>
      <w:pPr>
        <w:spacing w:after="40" w:before="160" w:line="312"/>
      </w:pPr>
      <w:r>
        <w:rPr>
          <w:rFonts w:ascii="Times New Roman" w:eastAsia="SimHei"/>
          <w:b/>
          <w:bCs/>
          <w:color w:val="0B1220"/>
          <w:sz w:val="26"/>
          <w:szCs w:val="26"/>
        </w:rPr>
        <w:t xml:space="preserve">第二篇 核心功能详解</w:t>
      </w:r>
    </w:p>
    <w:p>
      <w:pPr>
        <w:spacing w:after="80" w:line="312"/>
      </w:pPr>
      <w:r>
        <w:rPr>
          <w:rFonts w:ascii="Times New Roman" w:eastAsia="SimSun"/>
          <w:color w:val="555555"/>
          <w:sz w:val="22"/>
          <w:szCs w:val="22"/>
        </w:rPr>
        <w:t xml:space="preserve">4 经营总览 / 5 异常中心：自动发现 / 6 根因分析 / 7 补货与促销建议 / 8 授权执行与审批 / 9 执行记录与审计</w:t>
      </w:r>
    </w:p>
    <w:p>
      <w:pPr>
        <w:spacing w:after="40" w:before="160" w:line="312"/>
      </w:pPr>
      <w:r>
        <w:rPr>
          <w:rFonts w:ascii="Times New Roman" w:eastAsia="SimHei"/>
          <w:b/>
          <w:bCs/>
          <w:color w:val="0B1220"/>
          <w:sz w:val="26"/>
          <w:szCs w:val="26"/>
        </w:rPr>
        <w:t xml:space="preserve">第三篇 治理与安全</w:t>
      </w:r>
    </w:p>
    <w:p>
      <w:pPr>
        <w:spacing w:after="80" w:line="312"/>
      </w:pPr>
      <w:r>
        <w:rPr>
          <w:rFonts w:ascii="Times New Roman" w:eastAsia="SimSun"/>
          <w:color w:val="555555"/>
          <w:sz w:val="22"/>
          <w:szCs w:val="22"/>
        </w:rPr>
        <w:t xml:space="preserve">10 权限矩阵与策略引擎 / 11 写操作四保险</w:t>
      </w:r>
    </w:p>
    <w:p>
      <w:pPr>
        <w:spacing w:after="40" w:before="160" w:line="312"/>
      </w:pPr>
      <w:r>
        <w:rPr>
          <w:rFonts w:ascii="Times New Roman" w:eastAsia="SimHei"/>
          <w:b/>
          <w:bCs/>
          <w:color w:val="0B1220"/>
          <w:sz w:val="26"/>
          <w:szCs w:val="26"/>
        </w:rPr>
        <w:t xml:space="preserve">第四篇 部署与使用</w:t>
      </w:r>
    </w:p>
    <w:p>
      <w:pPr>
        <w:spacing w:after="80" w:line="312"/>
      </w:pPr>
      <w:r>
        <w:rPr>
          <w:rFonts w:ascii="Times New Roman" w:eastAsia="SimSun"/>
          <w:color w:val="555555"/>
          <w:sz w:val="22"/>
          <w:szCs w:val="22"/>
        </w:rPr>
        <w:t xml:space="preserve">12 快速启动 / 13 在线预览与版本迭代 / 14 验收结果 / 15 常见问题</w:t>
      </w:r>
    </w:p>
    <w:p>
      <w:pPr>
        <w:spacing w:after="240" w:before="400" w:line="312"/>
      </w:pPr>
      <w:r>
        <w:rPr>
          <w:rFonts w:ascii="Times New Roman" w:eastAsia="SimHei"/>
          <w:b/>
          <w:bCs/>
          <w:color w:val="1E4A8F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第一篇 产品概述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 产品定位与核心价值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 系统架构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 核心能力总览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第二篇 核心功能详解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 经营总览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5 异常中心：自动发现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5.1 检测算法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5.2 异常列表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6 根因分析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7 补货与促销建议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8 授权执行与审批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9 执行记录与审计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第三篇 治理与安全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10 权限矩阵与策略引擎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11 写操作四保险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第四篇 部署与使用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12 快速启动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13 在线预览与版本迭代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14 验收结果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15 常见问题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 w:line="312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注：本目录由域代码生成。编辑文档后请右键目录选择“更新域”以刷新页码。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17" w:right="1701" w:bottom="1417" w:left="1701" w:header="708" w:footer="708" w:gutter="0"/>
          <w:pgNumType w:start="1" w:fmt="upperRoman"/>
          <w:docGrid w:linePitch="360"/>
        </w:sectPr>
      </w:pPr>
    </w:p>
    <w:p>
      <w:pPr>
        <w:pStyle w:val="Heading1"/>
        <w:pageBreakBefore/>
        <w:spacing w:after="200" w:before="240" w:line="312"/>
      </w:pPr>
      <w:bookmarkStart w:id="100000" w:name="_Toc100000"/>
      <w:r>
        <w:rPr>
          <w:rFonts w:ascii="Times New Roman" w:eastAsia="SimHei"/>
          <w:b/>
          <w:bCs/>
          <w:color w:val="1E4A8F"/>
          <w:sz w:val="32"/>
          <w:szCs w:val="32"/>
        </w:rPr>
        <w:t xml:space="preserve">第一篇 产品概述</w:t>
      </w:r>
      <w:bookmarkEnd w:id="100000"/>
    </w:p>
    <w:p>
      <w:pPr>
        <w:pStyle w:val="Heading2"/>
        <w:keepNext/>
        <w:spacing w:after="140" w:before="280" w:line="312"/>
      </w:pPr>
      <w:bookmarkStart w:id="100001" w:name="_Toc100001"/>
      <w:r>
        <w:rPr>
          <w:rFonts w:ascii="Times New Roman" w:eastAsia="SimHei"/>
          <w:b/>
          <w:bCs/>
          <w:color w:val="0B1220"/>
          <w:sz w:val="28"/>
          <w:szCs w:val="28"/>
        </w:rPr>
        <w:t xml:space="preserve">1 产品定位与核心价值</w:t>
      </w:r>
      <w:bookmarkEnd w:id="10000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零售经营决策 Agent（Retail Decision Agent）面向全国连锁零售企业，接入门店、会员、供应链、客服等多个业务系统，以一条完整闭环工作流替代人工巡检与经验决策：</w:t>
      </w:r>
    </w:p>
    <w:p>
      <w:pPr>
        <w:spacing w:after="60" w:line="312"/>
        <w:ind w:left="480" w:hanging="240"/>
      </w:pPr>
      <w:r>
        <w:rPr>
          <w:rFonts w:ascii="Times New Roman" w:eastAsia="SimSun"/>
          <w:b/>
          <w:bCs/>
          <w:color w:val="1E4A8F"/>
          <w:sz w:val="24"/>
          <w:szCs w:val="24"/>
        </w:rPr>
        <w:t xml:space="preserve">•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自动发现</w:t>
      </w:r>
      <w:r>
        <w:rPr>
          <w:rFonts w:ascii="Times New Roman" w:eastAsia="SimSun"/>
          <w:color w:val="000000"/>
          <w:sz w:val="24"/>
          <w:szCs w:val="24"/>
        </w:rPr>
        <w:t xml:space="preserve">系统持续扫描销售数据，自动发现销量异常，无需人工发起；</w:t>
      </w:r>
    </w:p>
    <w:p>
      <w:pPr>
        <w:spacing w:after="60" w:line="312"/>
        <w:ind w:left="480" w:hanging="240"/>
      </w:pPr>
      <w:r>
        <w:rPr>
          <w:rFonts w:ascii="Times New Roman" w:eastAsia="SimSun"/>
          <w:b/>
          <w:bCs/>
          <w:color w:val="1E4A8F"/>
          <w:sz w:val="24"/>
          <w:szCs w:val="24"/>
        </w:rPr>
        <w:t xml:space="preserve">•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根因分析</w:t>
      </w:r>
      <w:r>
        <w:rPr>
          <w:rFonts w:ascii="Times New Roman" w:eastAsia="SimSun"/>
          <w:color w:val="000000"/>
          <w:sz w:val="24"/>
          <w:szCs w:val="24"/>
        </w:rPr>
        <w:t xml:space="preserve">对每个异常自动进行多维度假设验证，输出带证据链与置信度的根因 Top3；</w:t>
      </w:r>
    </w:p>
    <w:p>
      <w:pPr>
        <w:spacing w:after="60" w:line="312"/>
        <w:ind w:left="480" w:hanging="240"/>
      </w:pPr>
      <w:r>
        <w:rPr>
          <w:rFonts w:ascii="Times New Roman" w:eastAsia="SimSun"/>
          <w:b/>
          <w:bCs/>
          <w:color w:val="1E4A8F"/>
          <w:sz w:val="24"/>
          <w:szCs w:val="24"/>
        </w:rPr>
        <w:t xml:space="preserve">•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建议生成</w:t>
      </w:r>
      <w:r>
        <w:rPr>
          <w:rFonts w:ascii="Times New Roman" w:eastAsia="SimSun"/>
          <w:color w:val="000000"/>
          <w:sz w:val="24"/>
          <w:szCs w:val="24"/>
        </w:rPr>
        <w:t xml:space="preserve">按根因匹配打法库，生成补货或促销建议，含约束检查与成本收益估算；</w:t>
      </w:r>
    </w:p>
    <w:p>
      <w:pPr>
        <w:spacing w:after="60" w:line="312"/>
        <w:ind w:left="480" w:hanging="240"/>
      </w:pPr>
      <w:r>
        <w:rPr>
          <w:rFonts w:ascii="Times New Roman" w:eastAsia="SimSun"/>
          <w:b/>
          <w:bCs/>
          <w:color w:val="1E4A8F"/>
          <w:sz w:val="24"/>
          <w:szCs w:val="24"/>
        </w:rPr>
        <w:t xml:space="preserve">•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授权执行</w:t>
      </w:r>
      <w:r>
        <w:rPr>
          <w:rFonts w:ascii="Times New Roman" w:eastAsia="SimSun"/>
          <w:color w:val="000000"/>
          <w:sz w:val="24"/>
          <w:szCs w:val="24"/>
        </w:rPr>
        <w:t xml:space="preserve">低风险动作自动执行，高风险动作强制转人工审批，全程留痕可审计。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与传统数据看板的本质区别在于：看板回答“发生了什么”，本产品回答“为什么发生、该怎么办、办了之后效果如何”，并把每一步交给可控可审计的 Agent 执行。</w:t>
      </w:r>
    </w:p>
    <w:p>
      <w:pPr>
        <w:pStyle w:val="Heading2"/>
        <w:keepNext/>
        <w:spacing w:after="140" w:before="280" w:line="312"/>
      </w:pPr>
      <w:bookmarkStart w:id="100002" w:name="_Toc100002"/>
      <w:r>
        <w:rPr>
          <w:rFonts w:ascii="Times New Roman" w:eastAsia="SimHei"/>
          <w:b/>
          <w:bCs/>
          <w:color w:val="0B1220"/>
          <w:sz w:val="28"/>
          <w:szCs w:val="28"/>
        </w:rPr>
        <w:t xml:space="preserve">2 系统架构</w:t>
      </w:r>
      <w:bookmarkEnd w:id="10000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系统采用“单体服务、分域设计”架构：六大业务系统作为事实数据源，四个 Agent 层完成发现到执行的推理链路，治理层贯穿所有写入路径：</w:t>
      </w:r>
    </w:p>
    <w:p>
      <w:pPr>
        <w:keepNext/>
        <w:spacing w:after="80" w:before="120" w:line="312"/>
      </w:pPr>
      <w:r>
        <w:rPr>
          <w:rFonts w:ascii="Times New Roman" w:eastAsia="SimSun"/>
          <w:b/>
          <w:bCs/>
          <w:color w:val="333333"/>
          <w:sz w:val="21"/>
          <w:szCs w:val="21"/>
        </w:rPr>
        <w:t xml:space="preserve">表 2-1 系统分层架构</w:t>
      </w:r>
    </w:p>
    <w:tbl>
      <w:tblPr>
        <w:tblW w:type="pct" w:w="5000"/>
        <w:tblBorders>
          <w:top w:val="single" w:color="1E4A8F" w:sz="6"/>
          <w:left w:val="none"/>
          <w:bottom w:val="single" w:color="1E4A8F" w:sz="6"/>
          <w:right w:val="none"/>
          <w:insideH w:val="single" w:color="C9D2DE" w:sz="2"/>
          <w:insideV w:val="none"/>
        </w:tblBorders>
      </w:tblPr>
      <w:tblGrid>
        <w:gridCol w:w="1191"/>
        <w:gridCol w:w="1531"/>
        <w:gridCol w:w="3742"/>
        <w:gridCol w:w="2041"/>
      </w:tblGrid>
      <w:tr>
        <w:trPr>
          <w:cantSplit/>
          <w:tblHeader/>
        </w:trPr>
        <w:tc>
          <w:tcPr>
            <w:tcW w:type="pct" w:w="700"/>
            <w:shd w:fill="1E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层</w:t>
            </w:r>
          </w:p>
        </w:tc>
        <w:tc>
          <w:tcPr>
            <w:tcW w:type="pct" w:w="900"/>
            <w:shd w:fill="1E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pct" w:w="2200"/>
            <w:shd w:fill="1E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  <w:tc>
          <w:tcPr>
            <w:tcW w:type="pct" w:w="1200"/>
            <w:shd w:fill="1E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技术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业务系统层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services/（6 个）</w:t>
            </w:r>
          </w:p>
        </w:tc>
        <w:tc>
          <w:tcPr>
            <w:tcW w:type="pct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主数据 / 销售 / 库存供应链 / 会员 / 客服 / 外部数据，提供事实与执行通道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FastAPI REST + OpenAPI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感知层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agents/perception</w:t>
            </w:r>
          </w:p>
        </w:tc>
        <w:tc>
          <w:tcPr>
            <w:tcW w:type="pct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滚动中位数 + MAD + z-score 统计检测，主动发现销量异常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纯 Python 算法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诊断层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agents/diagnosis</w:t>
            </w:r>
          </w:p>
        </w:tc>
        <w:tc>
          <w:tcPr>
            <w:tcW w:type="pct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 类假设验证，输出根因 Top3 + 置信度 + 证据链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假设验证框架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决策层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agents/decision</w:t>
            </w:r>
          </w:p>
        </w:tc>
        <w:tc>
          <w:tcPr>
            <w:tcW w:type="pct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根因 × 打法库 → 补货/促销建议，约束检查 + ROI 估算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YAML 知识库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执行层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agents/execution</w:t>
            </w:r>
          </w:p>
        </w:tc>
        <w:tc>
          <w:tcPr>
            <w:tcW w:type="pct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六大写工具，状态机管理，失败可补偿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幂等 + 补偿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治理层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governance/</w:t>
            </w:r>
          </w:p>
        </w:tc>
        <w:tc>
          <w:tcPr>
            <w:tcW w:type="pct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权限矩阵 L0-L4、策略引擎、审批、审计、干线写入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Policy Engine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前端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web/</w:t>
            </w:r>
          </w:p>
        </w:tc>
        <w:tc>
          <w:tcPr>
            <w:tcW w:type="pct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经营控制台（6 核心页面）</w:t>
            </w:r>
          </w:p>
        </w:tc>
        <w:tc>
          <w:tcPr>
            <w:tcW w:type="pct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浅色主题，无构建 SPA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大模型在系统中只承担“叙述解释”职责：所有数字均来自工具返回的事实数据，并内置防编造校验（叙述中出现事实表之外的数字即自动回退模板叙述），从机制上保证结论可追溯。已用 DeepSeek 真实模型实测验证。</w:t>
      </w:r>
    </w:p>
    <w:p>
      <w:pPr>
        <w:pStyle w:val="Heading2"/>
        <w:keepNext/>
        <w:spacing w:after="140" w:before="280" w:line="312"/>
      </w:pPr>
      <w:bookmarkStart w:id="100003" w:name="_Toc100003"/>
      <w:r>
        <w:rPr>
          <w:rFonts w:ascii="Times New Roman" w:eastAsia="SimHei"/>
          <w:b/>
          <w:bCs/>
          <w:color w:val="0B1220"/>
          <w:sz w:val="28"/>
          <w:szCs w:val="28"/>
        </w:rPr>
        <w:t xml:space="preserve">3 核心能力总览</w:t>
      </w:r>
      <w:bookmarkEnd w:id="100003"/>
    </w:p>
    <w:p>
      <w:pPr>
        <w:keepNext/>
        <w:spacing w:after="80" w:before="120" w:line="312"/>
      </w:pPr>
      <w:r>
        <w:rPr>
          <w:rFonts w:ascii="Times New Roman" w:eastAsia="SimSun"/>
          <w:b/>
          <w:bCs/>
          <w:color w:val="333333"/>
          <w:sz w:val="21"/>
          <w:szCs w:val="21"/>
        </w:rPr>
        <w:t xml:space="preserve">表 3-1 核心能力与实现方式（R1-R5）</w:t>
      </w:r>
    </w:p>
    <w:tbl>
      <w:tblPr>
        <w:tblW w:type="pct" w:w="5000"/>
        <w:tblBorders>
          <w:top w:val="single" w:color="1E4A8F" w:sz="6"/>
          <w:left w:val="none"/>
          <w:bottom w:val="single" w:color="1E4A8F" w:sz="6"/>
          <w:right w:val="none"/>
          <w:insideH w:val="single" w:color="C9D2DE" w:sz="2"/>
          <w:insideV w:val="none"/>
        </w:tblBorders>
      </w:tblPr>
      <w:tblGrid>
        <w:gridCol w:w="680"/>
        <w:gridCol w:w="1871"/>
        <w:gridCol w:w="3572"/>
        <w:gridCol w:w="2381"/>
      </w:tblGrid>
      <w:tr>
        <w:trPr>
          <w:cantSplit/>
          <w:tblHeader/>
        </w:trPr>
        <w:tc>
          <w:tcPr>
            <w:tcW w:type="pct" w:w="400"/>
            <w:shd w:fill="1E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1100"/>
            <w:shd w:fill="1E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能力</w:t>
            </w:r>
          </w:p>
        </w:tc>
        <w:tc>
          <w:tcPr>
            <w:tcW w:type="pct" w:w="2100"/>
            <w:shd w:fill="1E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实现方式</w:t>
            </w:r>
          </w:p>
        </w:tc>
        <w:tc>
          <w:tcPr>
            <w:tcW w:type="pct" w:w="1400"/>
            <w:shd w:fill="1E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验证结果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R1</w:t>
            </w:r>
          </w:p>
        </w:tc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多系统接入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 大 Mock 业务系统，只读工具层统一接入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接口实测全部返回真实数据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R2</w:t>
            </w:r>
          </w:p>
        </w:tc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自动发现异常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统计检测主动扫描，支持定时调度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 类注入异常召回率 100%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R3</w:t>
            </w:r>
          </w:p>
        </w:tc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分析原因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 类假设验证，每根因至少 2 条证据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根因 Top3 命中率 100%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R4</w:t>
            </w:r>
          </w:p>
        </w:tc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补货/促销建议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根因×打法库，MOQ/毛利/预算约束 + ROI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约束违反率 0</w:t>
            </w:r>
          </w:p>
        </w:tc>
      </w:tr>
      <w:tr>
        <w:trPr>
          <w:cantSplit/>
        </w:trPr>
        <w:tc>
          <w:tcPr>
            <w:tcW w:type="pct" w:w="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R5</w:t>
            </w:r>
          </w:p>
        </w:tc>
        <w:tc>
          <w:tcPr>
            <w:tcW w:type="pct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授权范围内执行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L0-L4 权限 + 策略引擎 + 人工审批</w:t>
            </w:r>
          </w:p>
        </w:tc>
        <w:tc>
          <w:tcPr>
            <w:tcW w:type="pct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高风险审批合规率 100%</w:t>
            </w:r>
          </w:p>
        </w:tc>
      </w:tr>
    </w:tbl>
    <w:p>
      <w:pPr>
        <w:pStyle w:val="Heading1"/>
        <w:pageBreakBefore/>
        <w:spacing w:after="200" w:before="240" w:line="312"/>
      </w:pPr>
      <w:bookmarkStart w:id="100004" w:name="_Toc100004"/>
      <w:r>
        <w:rPr>
          <w:rFonts w:ascii="Times New Roman" w:eastAsia="SimHei"/>
          <w:b/>
          <w:bCs/>
          <w:color w:val="1E4A8F"/>
          <w:sz w:val="32"/>
          <w:szCs w:val="32"/>
        </w:rPr>
        <w:t xml:space="preserve">第二篇 核心功能详解</w:t>
      </w:r>
      <w:bookmarkEnd w:id="100004"/>
    </w:p>
    <w:p>
      <w:pPr>
        <w:pStyle w:val="Heading2"/>
        <w:keepNext/>
        <w:spacing w:after="140" w:before="280" w:line="312"/>
      </w:pPr>
      <w:bookmarkStart w:id="100005" w:name="_Toc100005"/>
      <w:r>
        <w:rPr>
          <w:rFonts w:ascii="Times New Roman" w:eastAsia="SimHei"/>
          <w:b/>
          <w:bCs/>
          <w:color w:val="0B1220"/>
          <w:sz w:val="28"/>
          <w:szCs w:val="28"/>
        </w:rPr>
        <w:t xml:space="preserve">4 经营总览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控制台首页呈现全局经营态势：近 7 天销售额与环比、销量、毛利率、待处理异常与待审批计数一目了然，并提供 30 天销售趋势与门店排行。右上角“运行 Agent”按钮一键完成发现异常→原因分析→生成建议→执行全流程。</w:t>
      </w:r>
    </w:p>
    <w:p>
      <w:pPr>
        <w:keepNext/>
        <w:spacing w:after="40" w:before="120" w:line="312"/>
        <w:jc w:val="center"/>
      </w:pPr>
      <w:r>
        <w:drawing>
          <wp:inline distT="0" distB="0" distL="0" distR="0">
            <wp:extent cx="523875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12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4-1 经营总览：KPI 、趋势与最新异常</w:t>
      </w:r>
    </w:p>
    <w:p>
      <w:pPr>
        <w:pStyle w:val="Heading2"/>
        <w:keepNext/>
        <w:spacing w:after="140" w:before="280" w:line="312"/>
      </w:pPr>
      <w:bookmarkStart w:id="100006" w:name="_Toc100006"/>
      <w:r>
        <w:rPr>
          <w:rFonts w:ascii="Times New Roman" w:eastAsia="SimHei"/>
          <w:b/>
          <w:bCs/>
          <w:color w:val="0B1220"/>
          <w:sz w:val="28"/>
          <w:szCs w:val="28"/>
        </w:rPr>
        <w:t xml:space="preserve">5 异常中心：自动发现</w:t>
      </w:r>
      <w:bookmarkEnd w:id="100006"/>
    </w:p>
    <w:p>
      <w:pPr>
        <w:pStyle w:val="Heading3"/>
        <w:keepNext/>
        <w:spacing w:after="110" w:before="220" w:line="312"/>
      </w:pPr>
      <w:bookmarkStart w:id="100007" w:name="_Toc100007"/>
      <w:r>
        <w:rPr>
          <w:rFonts w:ascii="Times New Roman" w:eastAsia="SimHei"/>
          <w:b/>
          <w:bCs/>
          <w:color w:val="0B1220"/>
          <w:sz w:val="24"/>
          <w:szCs w:val="24"/>
        </w:rPr>
        <w:t xml:space="preserve">5.1 检测算法</w:t>
      </w:r>
      <w:bookmarkEnd w:id="10000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感知层以传统统计算法而非大模型猜测发现异常：先用前 28 天滚动中位数与 MAD 建立基线，再对近 14 天逐日计算 z-score 与偏差比例，连续 2 天以上偏离即识别为异常段；另设客诉激增、库存归零等业务规则。每个异常均携带观察值、期望值、偏差、严重度与数据证据。</w:t>
      </w:r>
    </w:p>
    <w:p>
      <w:pPr>
        <w:pStyle w:val="Heading3"/>
        <w:keepNext/>
        <w:spacing w:after="110" w:before="220" w:line="312"/>
      </w:pPr>
      <w:bookmarkStart w:id="100008" w:name="_Toc100008"/>
      <w:r>
        <w:rPr>
          <w:rFonts w:ascii="Times New Roman" w:eastAsia="SimHei"/>
          <w:b/>
          <w:bCs/>
          <w:color w:val="0B1220"/>
          <w:sz w:val="24"/>
          <w:szCs w:val="24"/>
        </w:rPr>
        <w:t xml:space="preserve">5.2 异常列表</w:t>
      </w:r>
      <w:bookmarkEnd w:id="100008"/>
    </w:p>
    <w:p>
      <w:pPr>
        <w:keepNext/>
        <w:spacing w:after="40" w:before="120" w:line="312"/>
        <w:jc w:val="center"/>
      </w:pPr>
      <w:r>
        <w:drawing>
          <wp:inline distT="0" distB="0" distL="0" distR="0">
            <wp:extent cx="5238750" cy="23431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12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5-1 异常中心：自动发现的异常列表，按严重度标记</w:t>
      </w:r>
    </w:p>
    <w:p>
      <w:pPr>
        <w:pStyle w:val="Heading2"/>
        <w:keepNext/>
        <w:spacing w:after="140" w:before="280" w:line="312"/>
      </w:pPr>
      <w:bookmarkStart w:id="100009" w:name="_Toc100009"/>
      <w:r>
        <w:rPr>
          <w:rFonts w:ascii="Times New Roman" w:eastAsia="SimHei"/>
          <w:b/>
          <w:bCs/>
          <w:color w:val="0B1220"/>
          <w:sz w:val="28"/>
          <w:szCs w:val="28"/>
        </w:rPr>
        <w:t xml:space="preserve">6 根因分析</w:t>
      </w:r>
      <w:bookmarkEnd w:id="10000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点击任一异常进入详情页，左侧为检测证据链（全部来自业务系统真实数据），右侧为原因分析：系统对缺货、供应链延迟、促销、竞品促销、天气、客诉、会员流失、临期、价格九类假设并行验证，仅当证据至少 2 条且方向相容时方可入选根因，按置信度排序取 Top3；证据不足时显式转人工而非硬给结论。</w:t>
      </w:r>
    </w:p>
    <w:p>
      <w:pPr>
        <w:keepNext/>
        <w:spacing w:after="40" w:before="120" w:line="312"/>
        <w:jc w:val="center"/>
      </w:pPr>
      <w:r>
        <w:drawing>
          <wp:inline distT="0" distB="0" distL="0" distR="0">
            <wp:extent cx="5238750" cy="23431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12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6-1 异常详情：证据链、根因 Top3（置信度与贡献占比）与结论叙述</w:t>
      </w:r>
    </w:p>
    <w:p>
      <w:pPr>
        <w:pStyle w:val="Heading2"/>
        <w:keepNext/>
        <w:spacing w:after="140" w:before="280" w:line="312"/>
      </w:pPr>
      <w:bookmarkStart w:id="100010" w:name="_Toc100010"/>
      <w:r>
        <w:rPr>
          <w:rFonts w:ascii="Times New Roman" w:eastAsia="SimHei"/>
          <w:b/>
          <w:bCs/>
          <w:color w:val="0B1220"/>
          <w:sz w:val="28"/>
          <w:szCs w:val="28"/>
        </w:rPr>
        <w:t xml:space="preserve">7 补货与促销建议</w:t>
      </w:r>
      <w:bookmarkEnd w:id="10001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决策层按根因匹配打法库生成建议卡：补货建议自动计算覆盖天数并向上取整到供应商最小起订量；促销建议自动校验毛利底线、折扣上限与预算上限。每张建议卡均给出预估成本、预估收益、ROI 与销量恢复比例，供决策者直观比较；任何违反硬约束的方案在生成阶段即被丢弃，约束违反率为 0。</w:t>
      </w:r>
    </w:p>
    <w:p>
      <w:pPr>
        <w:keepNext/>
        <w:spacing w:after="40" w:before="120" w:line="312"/>
        <w:jc w:val="center"/>
      </w:pPr>
      <w:r>
        <w:drawing>
          <wp:inline distT="0" distB="0" distL="0" distR="0">
            <wp:extent cx="5238750" cy="234315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12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7-1 补货/促销建议：风险等级、ROI 与约束检查明细</w:t>
      </w:r>
    </w:p>
    <w:p>
      <w:pPr>
        <w:pStyle w:val="Heading2"/>
        <w:keepNext/>
        <w:spacing w:after="140" w:before="280" w:line="312"/>
      </w:pPr>
      <w:bookmarkStart w:id="100011" w:name="_Toc100011"/>
      <w:r>
        <w:rPr>
          <w:rFonts w:ascii="Times New Roman" w:eastAsia="SimHei"/>
          <w:b/>
          <w:bCs/>
          <w:color w:val="0B1220"/>
          <w:sz w:val="28"/>
          <w:szCs w:val="28"/>
        </w:rPr>
        <w:t xml:space="preserve">8 授权执行与审批</w:t>
      </w:r>
      <w:bookmarkEnd w:id="10001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执行层严格遵守“先建议、后执行”：低风险建议（如常规补货、10% 以内折扣）自动执行；超出 Agent 授权的高风险动作（折扣超过 10%、预算超过 1 万、跨区域调拨等）一律生成审批单转人工，审批中心仅风控审批人（L3）可操作，通过后自动执行。</w:t>
      </w:r>
    </w:p>
    <w:p>
      <w:pPr>
        <w:keepNext/>
        <w:spacing w:after="40" w:before="120" w:line="312"/>
        <w:jc w:val="center"/>
      </w:pPr>
      <w:r>
        <w:drawing>
          <wp:inline distT="0" distB="0" distL="0" distR="0">
            <wp:extent cx="5238750" cy="23431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12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8-1 审批中心：高风险动作的人工确认与风险原因</w:t>
      </w:r>
    </w:p>
    <w:p>
      <w:pPr>
        <w:pStyle w:val="Heading2"/>
        <w:keepNext/>
        <w:spacing w:after="140" w:before="280" w:line="312"/>
      </w:pPr>
      <w:bookmarkStart w:id="100012" w:name="_Toc100012"/>
      <w:r>
        <w:rPr>
          <w:rFonts w:ascii="Times New Roman" w:eastAsia="SimHei"/>
          <w:b/>
          <w:bCs/>
          <w:color w:val="0B1220"/>
          <w:sz w:val="28"/>
          <w:szCs w:val="28"/>
        </w:rPr>
        <w:t xml:space="preserve">9 执行记录与审计</w:t>
      </w:r>
      <w:bookmarkEnd w:id="10001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每一步执行均有状态机管理（待执行→执行中→成功/失败→已补偿）；审计日志记录谁在什么时候对什么做了什么，通过过 trace_id 可一键还原“发现→分析→建议→执行”完整链路，通过与拒绝同样留痕。</w:t>
      </w:r>
    </w:p>
    <w:p>
      <w:pPr>
        <w:keepNext/>
        <w:spacing w:after="40" w:before="120" w:line="312"/>
        <w:jc w:val="center"/>
      </w:pPr>
      <w:r>
        <w:drawing>
          <wp:inline distT="0" distB="0" distL="0" distR="0">
            <wp:extent cx="5238750" cy="23431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12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9-1 执行记录：状态机与业务单据关联</w:t>
      </w:r>
    </w:p>
    <w:p>
      <w:pPr>
        <w:keepNext/>
        <w:spacing w:after="40" w:before="120" w:line="312"/>
        <w:jc w:val="center"/>
      </w:pPr>
      <w:r>
        <w:drawing>
          <wp:inline distT="0" distB="0" distL="0" distR="0">
            <wp:extent cx="5238750" cy="23431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12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9-2 审计日志：支持 trace_id 过滤的全链路留痕</w:t>
      </w:r>
    </w:p>
    <w:p>
      <w:pPr>
        <w:pStyle w:val="Heading1"/>
        <w:pageBreakBefore/>
        <w:spacing w:after="200" w:before="240" w:line="312"/>
      </w:pPr>
      <w:bookmarkStart w:id="100013" w:name="_Toc100013"/>
      <w:r>
        <w:rPr>
          <w:rFonts w:ascii="Times New Roman" w:eastAsia="SimHei"/>
          <w:b/>
          <w:bCs/>
          <w:color w:val="1E4A8F"/>
          <w:sz w:val="32"/>
          <w:szCs w:val="32"/>
        </w:rPr>
        <w:t xml:space="preserve">第三篇 治理与安全</w:t>
      </w:r>
      <w:bookmarkEnd w:id="100013"/>
    </w:p>
    <w:p>
      <w:pPr>
        <w:pStyle w:val="Heading2"/>
        <w:keepNext/>
        <w:spacing w:after="140" w:before="280" w:line="312"/>
      </w:pPr>
      <w:bookmarkStart w:id="100014" w:name="_Toc100014"/>
      <w:r>
        <w:rPr>
          <w:rFonts w:ascii="Times New Roman" w:eastAsia="SimHei"/>
          <w:b/>
          <w:bCs/>
          <w:color w:val="0B1220"/>
          <w:sz w:val="28"/>
          <w:szCs w:val="28"/>
        </w:rPr>
        <w:t xml:space="preserve">10 权限矩阵与策略引擎</w:t>
      </w:r>
      <w:bookmarkEnd w:id="100014"/>
    </w:p>
    <w:p>
      <w:pPr>
        <w:keepNext/>
        <w:spacing w:after="80" w:before="120" w:line="312"/>
      </w:pPr>
      <w:r>
        <w:rPr>
          <w:rFonts w:ascii="Times New Roman" w:eastAsia="SimSun"/>
          <w:b/>
          <w:bCs/>
          <w:color w:val="333333"/>
          <w:sz w:val="21"/>
          <w:szCs w:val="21"/>
        </w:rPr>
        <w:t xml:space="preserve">表 10-1 角色权限矩阵</w:t>
      </w:r>
    </w:p>
    <w:tbl>
      <w:tblPr>
        <w:tblW w:type="pct" w:w="5000"/>
        <w:tblBorders>
          <w:top w:val="single" w:color="1E4A8F" w:sz="6"/>
          <w:left w:val="none"/>
          <w:bottom w:val="single" w:color="1E4A8F" w:sz="6"/>
          <w:right w:val="none"/>
          <w:insideH w:val="single" w:color="C9D2DE" w:sz="2"/>
          <w:insideV w:val="none"/>
        </w:tblBorders>
      </w:tblPr>
      <w:tblGrid>
        <w:gridCol w:w="2891"/>
        <w:gridCol w:w="1531"/>
        <w:gridCol w:w="4082"/>
      </w:tblGrid>
      <w:tr>
        <w:trPr>
          <w:cantSplit/>
          <w:tblHeader/>
        </w:trPr>
        <w:tc>
          <w:tcPr>
            <w:tcW w:type="pct" w:w="1700"/>
            <w:shd w:fill="1E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角色</w:t>
            </w:r>
          </w:p>
        </w:tc>
        <w:tc>
          <w:tcPr>
            <w:tcW w:type="pct" w:w="900"/>
            <w:shd w:fill="1E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权限级</w:t>
            </w:r>
          </w:p>
        </w:tc>
        <w:tc>
          <w:tcPr>
            <w:tcW w:type="pct" w:w="2400"/>
            <w:shd w:fill="1E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能做什么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风控审批人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L3</w:t>
            </w:r>
          </w:p>
        </w:tc>
        <w:tc>
          <w:tcPr>
            <w:tcW w:type="pct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唯一可审批高风险动作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供应链计划员/会员运营/区域经理/店长/客服主管/总部运营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L2</w:t>
            </w:r>
          </w:p>
        </w:tc>
        <w:tc>
          <w:tcPr>
            <w:tcW w:type="pct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低风险写入；店长仅限本店数据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Agent 服务身份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L2（硬上限）</w:t>
            </w:r>
          </w:p>
        </w:tc>
        <w:tc>
          <w:tcPr>
            <w:tcW w:type="pct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低风险自动执行；任何高风险一律转审批</w:t>
            </w:r>
          </w:p>
        </w:tc>
      </w:tr>
      <w:tr>
        <w:trPr>
          <w:cantSplit/>
        </w:trPr>
        <w:tc>
          <w:tcPr>
            <w:tcW w:type="pct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匿合/未授权</w:t>
            </w:r>
          </w:p>
        </w:tc>
        <w:tc>
          <w:tcPr>
            <w:tcW w:type="pct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L0</w:t>
            </w:r>
          </w:p>
        </w:tc>
        <w:tc>
          <w:tcPr>
            <w:tcW w:type="pct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只读，写入一律拒绝</w:t>
            </w:r>
          </w:p>
        </w:tc>
      </w:tr>
    </w:tbl>
    <w:p>
      <w:pPr>
        <w:keepNext/>
        <w:spacing w:after="80" w:before="120" w:line="312"/>
      </w:pPr>
      <w:r>
        <w:rPr>
          <w:rFonts w:ascii="Times New Roman" w:eastAsia="SimSun"/>
          <w:b/>
          <w:bCs/>
          <w:color w:val="333333"/>
          <w:sz w:val="21"/>
          <w:szCs w:val="21"/>
        </w:rPr>
        <w:t xml:space="preserve">表 10-2 风险规则（策略引擎消费机器可读规则库）</w:t>
      </w:r>
    </w:p>
    <w:tbl>
      <w:tblPr>
        <w:tblW w:type="pct" w:w="5000"/>
        <w:tblBorders>
          <w:top w:val="single" w:color="1E4A8F" w:sz="6"/>
          <w:left w:val="none"/>
          <w:bottom w:val="single" w:color="1E4A8F" w:sz="6"/>
          <w:right w:val="none"/>
          <w:insideH w:val="single" w:color="C9D2DE" w:sz="2"/>
          <w:insideV w:val="none"/>
        </w:tblBorders>
      </w:tblPr>
      <w:tblGrid>
        <w:gridCol w:w="4932"/>
        <w:gridCol w:w="3572"/>
      </w:tblGrid>
      <w:tr>
        <w:trPr>
          <w:cantSplit/>
          <w:tblHeader/>
        </w:trPr>
        <w:tc>
          <w:tcPr>
            <w:tcW w:type="pct" w:w="2900"/>
            <w:shd w:fill="1E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规则</w:t>
            </w:r>
          </w:p>
        </w:tc>
        <w:tc>
          <w:tcPr>
            <w:tcW w:type="pct" w:w="2100"/>
            <w:shd w:fill="1E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处置</w:t>
            </w:r>
          </w:p>
        </w:tc>
      </w:tr>
      <w:tr>
        <w:trPr>
          <w:cantSplit/>
        </w:trPr>
        <w:tc>
          <w:tcPr>
            <w:tcW w:type="pct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促销折扣超过 10%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必须审批</w:t>
            </w:r>
          </w:p>
        </w:tc>
      </w:tr>
      <w:tr>
        <w:trPr>
          <w:cantSplit/>
        </w:trPr>
        <w:tc>
          <w:tcPr>
            <w:tcW w:type="pct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促销/触达预算超过 1 万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必须审批</w:t>
            </w:r>
          </w:p>
        </w:tc>
      </w:tr>
      <w:tr>
        <w:trPr>
          <w:cantSplit/>
        </w:trPr>
        <w:tc>
          <w:tcPr>
            <w:tcW w:type="pct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任何价格变更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必须审批</w:t>
            </w:r>
          </w:p>
        </w:tc>
      </w:tr>
      <w:tr>
        <w:trPr>
          <w:cantSplit/>
        </w:trPr>
        <w:tc>
          <w:tcPr>
            <w:tcW w:type="pct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跨区域库存调拨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必须审批</w:t>
            </w:r>
          </w:p>
        </w:tc>
      </w:tr>
      <w:tr>
        <w:trPr>
          <w:cantSplit/>
        </w:trPr>
        <w:tc>
          <w:tcPr>
            <w:tcW w:type="pct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折扣超过 30% / 预算超过 10 万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直接拒绝（禁止动作）</w:t>
            </w:r>
          </w:p>
        </w:tc>
      </w:tr>
      <w:tr>
        <w:trPr>
          <w:cantSplit/>
        </w:trPr>
        <w:tc>
          <w:tcPr>
            <w:tcW w:type="pct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白名单外动作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拒绝执行</w:t>
            </w:r>
          </w:p>
        </w:tc>
      </w:tr>
    </w:tbl>
    <w:p>
      <w:pPr>
        <w:pStyle w:val="Heading2"/>
        <w:keepNext/>
        <w:spacing w:after="140" w:before="280" w:line="312"/>
      </w:pPr>
      <w:bookmarkStart w:id="100015" w:name="_Toc100015"/>
      <w:r>
        <w:rPr>
          <w:rFonts w:ascii="Times New Roman" w:eastAsia="SimHei"/>
          <w:b/>
          <w:bCs/>
          <w:color w:val="0B1220"/>
          <w:sz w:val="28"/>
          <w:szCs w:val="28"/>
        </w:rPr>
        <w:t xml:space="preserve">11 写操作四保险</w:t>
      </w:r>
      <w:bookmarkEnd w:id="100015"/>
    </w:p>
    <w:p>
      <w:pPr>
        <w:spacing w:after="60" w:line="312"/>
        <w:ind w:left="480" w:hanging="240"/>
      </w:pPr>
      <w:r>
        <w:rPr>
          <w:rFonts w:ascii="Times New Roman" w:eastAsia="SimSun"/>
          <w:b/>
          <w:bCs/>
          <w:color w:val="1E4A8F"/>
          <w:sz w:val="24"/>
          <w:szCs w:val="24"/>
        </w:rPr>
        <w:t xml:space="preserve">•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幂等：</w:t>
      </w:r>
      <w:r>
        <w:rPr>
          <w:rFonts w:ascii="Times New Roman" w:eastAsia="SimSun"/>
          <w:color w:val="000000"/>
          <w:sz w:val="24"/>
          <w:szCs w:val="24"/>
        </w:rPr>
        <w:t xml:space="preserve">相同 idempotency_key 重复提交重放首次结果，不重复下单；同键不同请求直接拒绝；</w:t>
      </w:r>
    </w:p>
    <w:p>
      <w:pPr>
        <w:spacing w:after="60" w:line="312"/>
        <w:ind w:left="480" w:hanging="240"/>
      </w:pPr>
      <w:r>
        <w:rPr>
          <w:rFonts w:ascii="Times New Roman" w:eastAsia="SimSun"/>
          <w:b/>
          <w:bCs/>
          <w:color w:val="1E4A8F"/>
          <w:sz w:val="24"/>
          <w:szCs w:val="24"/>
        </w:rPr>
        <w:t xml:space="preserve">•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预演：</w:t>
      </w:r>
      <w:r>
        <w:rPr>
          <w:rFonts w:ascii="Times New Roman" w:eastAsia="SimSun"/>
          <w:color w:val="000000"/>
          <w:sz w:val="24"/>
          <w:szCs w:val="24"/>
        </w:rPr>
        <w:t xml:space="preserve">任何写入可预演，不落库也留审计痕；</w:t>
      </w:r>
    </w:p>
    <w:p>
      <w:pPr>
        <w:spacing w:after="60" w:line="312"/>
        <w:ind w:left="480" w:hanging="240"/>
      </w:pPr>
      <w:r>
        <w:rPr>
          <w:rFonts w:ascii="Times New Roman" w:eastAsia="SimSun"/>
          <w:b/>
          <w:bCs/>
          <w:color w:val="1E4A8F"/>
          <w:sz w:val="24"/>
          <w:szCs w:val="24"/>
        </w:rPr>
        <w:t xml:space="preserve">•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审计：</w:t>
      </w:r>
      <w:r>
        <w:rPr>
          <w:rFonts w:ascii="Times New Roman" w:eastAsia="SimSun"/>
          <w:color w:val="000000"/>
          <w:sz w:val="24"/>
          <w:szCs w:val="24"/>
        </w:rPr>
        <w:t xml:space="preserve">成功、拒绝、失败均写审计日志，trace_id 贯穿全链路；</w:t>
      </w:r>
    </w:p>
    <w:p>
      <w:pPr>
        <w:spacing w:after="60" w:line="312"/>
        <w:ind w:left="480" w:hanging="240"/>
      </w:pPr>
      <w:r>
        <w:rPr>
          <w:rFonts w:ascii="Times New Roman" w:eastAsia="SimSun"/>
          <w:b/>
          <w:bCs/>
          <w:color w:val="1E4A8F"/>
          <w:sz w:val="24"/>
          <w:szCs w:val="24"/>
        </w:rPr>
        <w:t xml:space="preserve">•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补偿：</w:t>
      </w:r>
      <w:r>
        <w:rPr>
          <w:rFonts w:ascii="Times New Roman" w:eastAsia="SimSun"/>
          <w:color w:val="000000"/>
          <w:sz w:val="24"/>
          <w:szCs w:val="24"/>
        </w:rPr>
        <w:t xml:space="preserve">补货、调拨、促销、工单均支持补偿回退，库存与单据同步恢复。</w:t>
      </w:r>
    </w:p>
    <w:p>
      <w:pPr>
        <w:pStyle w:val="Heading1"/>
        <w:pageBreakBefore/>
        <w:spacing w:after="200" w:before="240" w:line="312"/>
      </w:pPr>
      <w:bookmarkStart w:id="100016" w:name="_Toc100016"/>
      <w:r>
        <w:rPr>
          <w:rFonts w:ascii="Times New Roman" w:eastAsia="SimHei"/>
          <w:b/>
          <w:bCs/>
          <w:color w:val="1E4A8F"/>
          <w:sz w:val="32"/>
          <w:szCs w:val="32"/>
        </w:rPr>
        <w:t xml:space="preserve">第四篇 部署与使用</w:t>
      </w:r>
      <w:bookmarkEnd w:id="100016"/>
    </w:p>
    <w:p>
      <w:pPr>
        <w:pStyle w:val="Heading2"/>
        <w:keepNext/>
        <w:spacing w:after="140" w:before="280" w:line="312"/>
      </w:pPr>
      <w:bookmarkStart w:id="100017" w:name="_Toc100017"/>
      <w:r>
        <w:rPr>
          <w:rFonts w:ascii="Times New Roman" w:eastAsia="SimHei"/>
          <w:b/>
          <w:bCs/>
          <w:color w:val="0B1220"/>
          <w:sz w:val="28"/>
          <w:szCs w:val="28"/>
        </w:rPr>
        <w:t xml:space="preserve">12 快速启动</w:t>
      </w:r>
      <w:bookmarkEnd w:id="100017"/>
    </w:p>
    <w:p>
      <w:pPr>
        <w:spacing w:after="60" w:line="312"/>
        <w:ind w:left="480" w:hanging="240"/>
      </w:pPr>
      <w:r>
        <w:rPr>
          <w:rFonts w:ascii="Times New Roman" w:eastAsia="SimSun"/>
          <w:b/>
          <w:bCs/>
          <w:color w:val="1E4A8F"/>
          <w:sz w:val="24"/>
          <w:szCs w:val="24"/>
        </w:rPr>
        <w:t xml:space="preserve">•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一键脚本：</w:t>
      </w:r>
      <w:r>
        <w:rPr>
          <w:rFonts w:ascii="Times New Roman" w:eastAsia="SimSun"/>
          <w:color w:val="000000"/>
          <w:sz w:val="24"/>
          <w:szCs w:val="24"/>
        </w:rPr>
        <w:t xml:space="preserve">Windows 执行 scripts\start.bat，或 macOS/Linux 执行 bash scripts/start.sh；首次启动自动安装依赖并生成演示数据；</w:t>
      </w:r>
    </w:p>
    <w:p>
      <w:pPr>
        <w:spacing w:after="60" w:line="312"/>
        <w:ind w:left="480" w:hanging="240"/>
      </w:pPr>
      <w:r>
        <w:rPr>
          <w:rFonts w:ascii="Times New Roman" w:eastAsia="SimSun"/>
          <w:b/>
          <w:bCs/>
          <w:color w:val="1E4A8F"/>
          <w:sz w:val="24"/>
          <w:szCs w:val="24"/>
        </w:rPr>
        <w:t xml:space="preserve">•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容器：</w:t>
      </w:r>
      <w:r>
        <w:rPr>
          <w:rFonts w:ascii="Times New Roman" w:eastAsia="SimSun"/>
          <w:color w:val="000000"/>
          <w:sz w:val="24"/>
          <w:szCs w:val="24"/>
        </w:rPr>
        <w:t xml:space="preserve">docker compose up --build，适用于容器化环境；</w:t>
      </w:r>
    </w:p>
    <w:p>
      <w:pPr>
        <w:spacing w:after="60" w:line="312"/>
        <w:ind w:left="480" w:hanging="240"/>
      </w:pPr>
      <w:r>
        <w:rPr>
          <w:rFonts w:ascii="Times New Roman" w:eastAsia="SimSun"/>
          <w:b/>
          <w:bCs/>
          <w:color w:val="1E4A8F"/>
          <w:sz w:val="24"/>
          <w:szCs w:val="24"/>
        </w:rPr>
        <w:t xml:space="preserve">•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手动：</w:t>
      </w:r>
      <w:r>
        <w:rPr>
          <w:rFonts w:ascii="Times New Roman" w:eastAsia="SimSun"/>
          <w:color w:val="000000"/>
          <w:sz w:val="24"/>
          <w:szCs w:val="24"/>
        </w:rPr>
        <w:t xml:space="preserve">pip install -r backend/requirements.txt 后 python scripts/generate.py 再启动服务；</w:t>
      </w:r>
    </w:p>
    <w:p>
      <w:pPr>
        <w:spacing w:after="60" w:line="312"/>
        <w:ind w:left="480" w:hanging="240"/>
      </w:pPr>
      <w:r>
        <w:rPr>
          <w:rFonts w:ascii="Times New Roman" w:eastAsia="SimSun"/>
          <w:b/>
          <w:bCs/>
          <w:color w:val="1E4A8F"/>
          <w:sz w:val="24"/>
          <w:szCs w:val="24"/>
        </w:rPr>
        <w:t xml:space="preserve">•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访问：</w:t>
      </w:r>
      <w:r>
        <w:rPr>
          <w:rFonts w:ascii="Times New Roman" w:eastAsia="SimSun"/>
          <w:color w:val="000000"/>
          <w:sz w:val="24"/>
          <w:szCs w:val="24"/>
        </w:rPr>
        <w:t xml:space="preserve">打开 http://127.0.0.1:8300，按控制台右上角“运行 Agent”即可体验完整闭环。</w:t>
      </w:r>
    </w:p>
    <w:p>
      <w:pPr>
        <w:pStyle w:val="Heading2"/>
        <w:keepNext/>
        <w:spacing w:after="140" w:before="280" w:line="312"/>
      </w:pPr>
      <w:bookmarkStart w:id="100018" w:name="_Toc100018"/>
      <w:r>
        <w:rPr>
          <w:rFonts w:ascii="Times New Roman" w:eastAsia="SimHei"/>
          <w:b/>
          <w:bCs/>
          <w:color w:val="0B1220"/>
          <w:sz w:val="28"/>
          <w:szCs w:val="28"/>
        </w:rPr>
        <w:t xml:space="preserve">13 在线预览与版本迭代</w:t>
      </w:r>
      <w:bookmarkEnd w:id="10001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系统已部署至 GitHub Pages 提供只读在线预览；代码托管于 GitHub 仓库，每次提交推逃后 Actions 自动重建演示数据快照并发布，代码变更与版本迭代在 Commits 中完整可查。</w:t>
      </w:r>
    </w:p>
    <w:p>
      <w:pPr>
        <w:keepNext/>
        <w:spacing w:after="40" w:before="120" w:line="312"/>
        <w:jc w:val="center"/>
      </w:pPr>
      <w:r>
        <w:drawing>
          <wp:inline distT="0" distB="0" distL="0" distR="0">
            <wp:extent cx="5238750" cy="366712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12"/>
        <w:jc w:val="center"/>
      </w:pPr>
      <w:r>
        <w:rPr>
          <w:rFonts w:ascii="Times New Roman" w:eastAsia="SimSun"/>
          <w:color w:val="666666"/>
          <w:sz w:val="21"/>
          <w:szCs w:val="21"/>
        </w:rPr>
        <w:t xml:space="preserve">图 13-1 GitHub Pages 在线只读预览（无后端环境自动降级为数据快照）</w:t>
      </w:r>
    </w:p>
    <w:p>
      <w:pPr>
        <w:pStyle w:val="Heading2"/>
        <w:keepNext/>
        <w:spacing w:after="140" w:before="280" w:line="312"/>
      </w:pPr>
      <w:bookmarkStart w:id="100019" w:name="_Toc100019"/>
      <w:r>
        <w:rPr>
          <w:rFonts w:ascii="Times New Roman" w:eastAsia="SimHei"/>
          <w:b/>
          <w:bCs/>
          <w:color w:val="0B1220"/>
          <w:sz w:val="28"/>
          <w:szCs w:val="28"/>
        </w:rPr>
        <w:t xml:space="preserve">14 验收结果</w:t>
      </w:r>
      <w:bookmarkEnd w:id="100019"/>
    </w:p>
    <w:p>
      <w:pPr>
        <w:keepNext/>
        <w:spacing w:after="80" w:before="120" w:line="312"/>
      </w:pPr>
      <w:r>
        <w:rPr>
          <w:rFonts w:ascii="Times New Roman" w:eastAsia="SimSun"/>
          <w:b/>
          <w:bCs/>
          <w:color w:val="333333"/>
          <w:sz w:val="21"/>
          <w:szCs w:val="21"/>
        </w:rPr>
        <w:t xml:space="preserve">表 14-1 全量验收指标（含真实 LLM 环境）</w:t>
      </w:r>
    </w:p>
    <w:tbl>
      <w:tblPr>
        <w:tblW w:type="pct" w:w="5000"/>
        <w:tblBorders>
          <w:top w:val="single" w:color="1E4A8F" w:sz="6"/>
          <w:left w:val="none"/>
          <w:bottom w:val="single" w:color="1E4A8F" w:sz="6"/>
          <w:right w:val="none"/>
          <w:insideH w:val="single" w:color="C9D2DE" w:sz="2"/>
          <w:insideV w:val="none"/>
        </w:tblBorders>
      </w:tblPr>
      <w:tblGrid>
        <w:gridCol w:w="4932"/>
        <w:gridCol w:w="3572"/>
      </w:tblGrid>
      <w:tr>
        <w:trPr>
          <w:cantSplit/>
          <w:tblHeader/>
        </w:trPr>
        <w:tc>
          <w:tcPr>
            <w:tcW w:type="pct" w:w="2900"/>
            <w:shd w:fill="1E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验收项</w:t>
            </w:r>
          </w:p>
        </w:tc>
        <w:tc>
          <w:tcPr>
            <w:tcW w:type="pct" w:w="2100"/>
            <w:shd w:fill="1E4A8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测试套件（单元 + 集成 + Playwright 端到端）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42/42 全部通过</w:t>
            </w:r>
          </w:p>
        </w:tc>
      </w:tr>
      <w:tr>
        <w:trPr>
          <w:cantSplit/>
        </w:trPr>
        <w:tc>
          <w:tcPr>
            <w:tcW w:type="pct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 类注入异常召回率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100%（高于 90% 验收线）</w:t>
            </w:r>
          </w:p>
        </w:tc>
      </w:tr>
      <w:tr>
        <w:trPr>
          <w:cantSplit/>
        </w:trPr>
        <w:tc>
          <w:tcPr>
            <w:tcW w:type="pct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根因 Top3 命中率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100%（高于 80% 验收线）</w:t>
            </w:r>
          </w:p>
        </w:tc>
      </w:tr>
      <w:tr>
        <w:trPr>
          <w:cantSplit/>
        </w:trPr>
        <w:tc>
          <w:tcPr>
            <w:tcW w:type="pct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建议约束违反率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pct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高风险审批合规率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</w:tr>
      <w:tr>
        <w:trPr>
          <w:cantSplit/>
        </w:trPr>
        <w:tc>
          <w:tcPr>
            <w:tcW w:type="pct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自动执行成功率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100%</w:t>
            </w:r>
          </w:p>
        </w:tc>
      </w:tr>
      <w:tr>
        <w:trPr>
          <w:cantSplit/>
        </w:trPr>
        <w:tc>
          <w:tcPr>
            <w:tcW w:type="pct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LLM 叙述防编造校验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DeepSeek 实测通过，数字全部来自工具事实</w:t>
            </w:r>
          </w:p>
        </w:tc>
      </w:tr>
      <w:tr>
        <w:trPr>
          <w:cantSplit/>
        </w:trPr>
        <w:tc>
          <w:tcPr>
            <w:tcW w:type="pct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GitHub Pages 在线预览</w:t>
            </w:r>
          </w:p>
        </w:tc>
        <w:tc>
          <w:tcPr>
            <w:tcW w:type="pct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已上线并逐页验证</w:t>
            </w:r>
          </w:p>
        </w:tc>
      </w:tr>
    </w:tbl>
    <w:p>
      <w:pPr>
        <w:pStyle w:val="Heading2"/>
        <w:keepNext/>
        <w:spacing w:after="140" w:before="280" w:line="312"/>
      </w:pPr>
      <w:bookmarkStart w:id="100020" w:name="_Toc100020"/>
      <w:r>
        <w:rPr>
          <w:rFonts w:ascii="Times New Roman" w:eastAsia="SimHei"/>
          <w:b/>
          <w:bCs/>
          <w:color w:val="0B1220"/>
          <w:sz w:val="28"/>
          <w:szCs w:val="28"/>
        </w:rPr>
        <w:t xml:space="preserve">15 常见问题</w:t>
      </w:r>
      <w:bookmarkEnd w:id="100020"/>
    </w:p>
    <w:p>
      <w:pPr>
        <w:spacing w:after="60" w:line="312"/>
        <w:ind w:left="480" w:hanging="240"/>
      </w:pPr>
      <w:r>
        <w:rPr>
          <w:rFonts w:ascii="Times New Roman" w:eastAsia="SimSun"/>
          <w:b/>
          <w:bCs/>
          <w:color w:val="1E4A8F"/>
          <w:sz w:val="24"/>
          <w:szCs w:val="24"/>
        </w:rPr>
        <w:t xml:space="preserve">•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Q：启动多久能用？</w:t>
      </w:r>
      <w:r>
        <w:rPr>
          <w:rFonts w:ascii="Times New Roman" w:eastAsia="SimSun"/>
          <w:color w:val="000000"/>
          <w:sz w:val="24"/>
          <w:szCs w:val="24"/>
        </w:rPr>
        <w:t xml:space="preserve">首次启动需生成演示数据，约 1 分钟；后续启动直接运行。</w:t>
      </w:r>
    </w:p>
    <w:p>
      <w:pPr>
        <w:spacing w:after="60" w:line="312"/>
        <w:ind w:left="480" w:hanging="240"/>
      </w:pPr>
      <w:r>
        <w:rPr>
          <w:rFonts w:ascii="Times New Roman" w:eastAsia="SimSun"/>
          <w:b/>
          <w:bCs/>
          <w:color w:val="1E4A8F"/>
          <w:sz w:val="24"/>
          <w:szCs w:val="24"/>
        </w:rPr>
        <w:t xml:space="preserve">•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Q：在线预览能操作吗？</w:t>
      </w:r>
      <w:r>
        <w:rPr>
          <w:rFonts w:ascii="Times New Roman" w:eastAsia="SimSun"/>
          <w:color w:val="000000"/>
          <w:sz w:val="24"/>
          <w:szCs w:val="24"/>
        </w:rPr>
        <w:t xml:space="preserve">在线预览为只读快照；运行 Agent、审批、执行等写操作需本地启动后端。</w:t>
      </w:r>
    </w:p>
    <w:p>
      <w:pPr>
        <w:spacing w:after="60" w:line="312"/>
        <w:ind w:left="480" w:hanging="240"/>
      </w:pPr>
      <w:r>
        <w:rPr>
          <w:rFonts w:ascii="Times New Roman" w:eastAsia="SimSun"/>
          <w:b/>
          <w:bCs/>
          <w:color w:val="1E4A8F"/>
          <w:sz w:val="24"/>
          <w:szCs w:val="24"/>
        </w:rPr>
        <w:t xml:space="preserve">•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Q：必须配置大模型吗？</w:t>
      </w:r>
      <w:r>
        <w:rPr>
          <w:rFonts w:ascii="Times New Roman" w:eastAsia="SimSun"/>
          <w:color w:val="000000"/>
          <w:sz w:val="24"/>
          <w:szCs w:val="24"/>
        </w:rPr>
        <w:t xml:space="preserve">不需要。未配置 API Key 时自动使用离线模板叙述，全部功能不受影响；配置方式见 .env.example。</w:t>
      </w:r>
    </w:p>
    <w:p>
      <w:pPr>
        <w:spacing w:after="60" w:line="312"/>
        <w:ind w:left="480" w:hanging="240"/>
      </w:pPr>
      <w:r>
        <w:rPr>
          <w:rFonts w:ascii="Times New Roman" w:eastAsia="SimSun"/>
          <w:b/>
          <w:bCs/>
          <w:color w:val="1E4A8F"/>
          <w:sz w:val="24"/>
          <w:szCs w:val="24"/>
        </w:rPr>
        <w:t xml:space="preserve">•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Q：如何在自己环境跑起来？</w:t>
      </w:r>
      <w:r>
        <w:rPr>
          <w:rFonts w:ascii="Times New Roman" w:eastAsia="SimSun"/>
          <w:color w:val="000000"/>
          <w:sz w:val="24"/>
          <w:szCs w:val="24"/>
        </w:rPr>
        <w:t xml:space="preserve">复制仓库后按 README 启动即可；所有数据均为 Mock 生成（固定种子可重复），不依赖任何真实企业系统。</w:t>
      </w:r>
    </w:p>
    <w:sectPr>
      <w:headerReference w:type="default" r:id="rId8"/>
      <w:footerReference w:type="default" r:id="rId9"/>
      <w:pgSz w:w="11906" w:h="16838" w:orient="portrait"/>
      <w:pgMar w:top="1417" w:right="1701" w:bottom="1417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88888"/>
        <w:sz w:val="18"/>
        <w:szCs w:val="18"/>
      </w:rPr>
      <w:t xml:space="preserve">零售经营决策系统 产品白皮书 · V1.0   |   </w:t>
    </w:r>
    <w:r>
      <w:rPr>
        <w:rFonts w:ascii="Times New Roman" w:eastAsia="SimSun"/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88888"/>
        <w:sz w:val="18"/>
        <w:szCs w:val="18"/>
      </w:rPr>
      <w:t xml:space="preserve">零售经营决策系统 产品白皮书 · V1.0   |   </w:t>
    </w:r>
    <w:r>
      <w:rPr>
        <w:rFonts w:ascii="Times New Roman" w:eastAsia="SimSun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2"/>
      </w:pBdr>
      <w:jc w:val="center"/>
    </w:pPr>
    <w:r>
      <w:rPr>
        <w:rFonts w:ascii="Times New Roman" w:eastAsia="SimSun"/>
        <w:color w:val="888888"/>
        <w:sz w:val="18"/>
        <w:szCs w:val="18"/>
      </w:rPr>
      <w:t xml:space="preserve">零售经营决策系统 产品白皮书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2"/>
      </w:pBdr>
      <w:jc w:val="center"/>
    </w:pPr>
    <w:r>
      <w:rPr>
        <w:rFonts w:ascii="Times New Roman" w:eastAsia="SimSun"/>
        <w:color w:val="888888"/>
        <w:sz w:val="18"/>
        <w:szCs w:val="18"/>
      </w:rPr>
      <w:t xml:space="preserve">零售经营决策系统 产品白皮书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240" w:line="312"/>
      <w:outlineLvl w:val="0"/>
    </w:pPr>
    <w:rPr>
      <w:rFonts w:ascii="Times New Roman" w:eastAsia="SimHei"/>
      <w:b/>
      <w:bCs/>
      <w:color w:val="1E4A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Times New Roman" w:eastAsia="SimHei"/>
      <w:b/>
      <w:bCs/>
      <w:color w:val="0B12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 w:line="312"/>
      <w:outlineLvl w:val="2"/>
    </w:pPr>
    <w:rPr>
      <w:rFonts w:ascii="Times New Roman" w:eastAsia="SimHei"/>
      <w:b/>
      <w:bCs/>
      <w:color w:val="0B122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088faf59e69d78cf9fe314c29f9181301bf99435.png"/><Relationship Id="rId12" Type="http://schemas.openxmlformats.org/officeDocument/2006/relationships/image" Target="media/50705fd57aff881ae3c9016253b68a56ca65c391.png"/><Relationship Id="rId13" Type="http://schemas.openxmlformats.org/officeDocument/2006/relationships/image" Target="media/d47cc4874be208eef215eaa9434c2bdd4ce70bb5.png"/><Relationship Id="rId14" Type="http://schemas.openxmlformats.org/officeDocument/2006/relationships/image" Target="media/d31163d1b825f1660452ee015cb09bc1881f99b2.png"/><Relationship Id="rId15" Type="http://schemas.openxmlformats.org/officeDocument/2006/relationships/image" Target="media/51abd95b04f870543c0fc1b2655bd12353093eed.png"/><Relationship Id="rId16" Type="http://schemas.openxmlformats.org/officeDocument/2006/relationships/image" Target="media/d655d1217346b19276290a4ede8eaeff14ae8af7.png"/><Relationship Id="rId17" Type="http://schemas.openxmlformats.org/officeDocument/2006/relationships/image" Target="media/e18e4609ee2e8066c10c32d1665b7bed7efb570b.png"/><Relationship Id="rId18" Type="http://schemas.openxmlformats.org/officeDocument/2006/relationships/image" Target="media/ced0c6dd803941bd6be9fd0963a980003be22684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零售经营决策系统 产品白皮书 V1.0</dc:title>
  <dc:creator>Retail Decision Agent</dc:creator>
  <cp:lastModifiedBy>Un-named</cp:lastModifiedBy>
  <cp:revision>1</cp:revision>
  <dcterms:created xsi:type="dcterms:W3CDTF">2026-09-30T04:14:47.135Z</dcterms:created>
  <dcterms:modified xsi:type="dcterms:W3CDTF">2026-09-30T04:14:47.141Z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