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6C501" w14:textId="77777777" w:rsidR="003B35AA" w:rsidRDefault="003B35AA">
      <w:pPr>
        <w:pStyle w:val="af3"/>
        <w:spacing w:line="435" w:lineRule="atLeast"/>
        <w:jc w:val="center"/>
        <w:rPr>
          <w:rFonts w:ascii="ˎ̥" w:hAnsi="ˎ̥"/>
          <w:color w:val="000000"/>
          <w:sz w:val="23"/>
          <w:szCs w:val="23"/>
        </w:rPr>
      </w:pPr>
      <w:r>
        <w:rPr>
          <w:rFonts w:ascii="ˎ̥" w:hAnsi="ˎ̥"/>
          <w:color w:val="000000"/>
          <w:sz w:val="23"/>
          <w:szCs w:val="23"/>
        </w:rPr>
        <w:t>《非上市公司模拟期权激励范本》</w:t>
      </w:r>
    </w:p>
    <w:p w14:paraId="11B08F55" w14:textId="77777777" w:rsidR="003B35AA" w:rsidRDefault="003B35AA">
      <w:pPr>
        <w:pStyle w:val="af3"/>
        <w:spacing w:line="435" w:lineRule="atLeast"/>
        <w:rPr>
          <w:rFonts w:ascii="ˎ̥" w:hAnsi="ˎ̥"/>
          <w:color w:val="000000"/>
          <w:sz w:val="23"/>
          <w:szCs w:val="23"/>
        </w:rPr>
      </w:pPr>
      <w:r>
        <w:rPr>
          <w:rFonts w:ascii="ˎ̥" w:hAnsi="ˎ̥"/>
          <w:b/>
          <w:color w:val="000000"/>
          <w:sz w:val="23"/>
          <w:szCs w:val="23"/>
        </w:rPr>
        <w:t>第一章</w:t>
      </w:r>
      <w:r>
        <w:rPr>
          <w:rFonts w:ascii="ˎ̥" w:hAnsi="ˎ̥"/>
          <w:color w:val="000000"/>
          <w:sz w:val="23"/>
          <w:szCs w:val="23"/>
        </w:rPr>
        <w:t xml:space="preserve"> </w:t>
      </w:r>
      <w:r>
        <w:rPr>
          <w:rFonts w:ascii="ˎ̥" w:hAnsi="ˎ̥"/>
          <w:b/>
          <w:color w:val="000000"/>
          <w:sz w:val="23"/>
          <w:szCs w:val="23"/>
        </w:rPr>
        <w:t>总则</w:t>
      </w:r>
    </w:p>
    <w:p w14:paraId="3D776CCC" w14:textId="77777777" w:rsidR="003B35AA" w:rsidRDefault="003B35AA">
      <w:pPr>
        <w:pStyle w:val="af3"/>
        <w:spacing w:line="435" w:lineRule="atLeast"/>
        <w:rPr>
          <w:rFonts w:ascii="ˎ̥" w:hAnsi="ˎ̥"/>
          <w:color w:val="000000"/>
          <w:sz w:val="23"/>
          <w:szCs w:val="23"/>
        </w:rPr>
      </w:pPr>
      <w:r>
        <w:rPr>
          <w:rFonts w:ascii="ˎ̥" w:hAnsi="ˎ̥"/>
          <w:b/>
          <w:color w:val="000000"/>
          <w:sz w:val="23"/>
          <w:szCs w:val="23"/>
        </w:rPr>
        <w:t>第一条</w:t>
      </w:r>
      <w:r>
        <w:rPr>
          <w:rFonts w:ascii="ˎ̥" w:hAnsi="ˎ̥"/>
          <w:b/>
          <w:color w:val="000000"/>
          <w:sz w:val="23"/>
          <w:szCs w:val="23"/>
        </w:rPr>
        <w:t xml:space="preserve">   </w:t>
      </w:r>
      <w:r>
        <w:rPr>
          <w:rFonts w:ascii="ˎ̥" w:hAnsi="ˎ̥"/>
          <w:b/>
          <w:color w:val="000000"/>
          <w:sz w:val="23"/>
          <w:szCs w:val="23"/>
        </w:rPr>
        <w:t>实施模拟期权的目的</w:t>
      </w:r>
    </w:p>
    <w:p w14:paraId="29959B70" w14:textId="77777777" w:rsidR="003B35AA" w:rsidRDefault="003B35AA">
      <w:pPr>
        <w:pStyle w:val="af3"/>
        <w:spacing w:line="435" w:lineRule="atLeast"/>
        <w:rPr>
          <w:rFonts w:ascii="ˎ̥" w:hAnsi="ˎ̥"/>
          <w:color w:val="000000"/>
          <w:sz w:val="23"/>
          <w:szCs w:val="23"/>
        </w:rPr>
      </w:pPr>
      <w:r>
        <w:rPr>
          <w:rFonts w:ascii="ˎ̥" w:hAnsi="ˎ̥"/>
          <w:color w:val="000000"/>
          <w:sz w:val="23"/>
          <w:szCs w:val="23"/>
        </w:rPr>
        <w:t>公司引进模拟股票期权制度，在于重塑高级管理人员及技术人员的长期激励机制，矫正平均化的分配制度，吸引优秀人才，克服公司发展中的短期行为，促使公司高级管理人员和技术人员与公司资产的有机结合，提高资源的使用效能，进而提高公司的整体素质，强化公司的核心竞争力和凝聚力，确保公司发展的持续性，推动公司业绩的上升。</w:t>
      </w:r>
    </w:p>
    <w:p w14:paraId="6B78DC8B" w14:textId="77777777" w:rsidR="003B35AA" w:rsidRDefault="003B35AA">
      <w:pPr>
        <w:pStyle w:val="af3"/>
        <w:spacing w:line="435" w:lineRule="atLeast"/>
        <w:rPr>
          <w:rFonts w:ascii="ˎ̥" w:hAnsi="ˎ̥"/>
          <w:b/>
          <w:color w:val="000000"/>
          <w:sz w:val="23"/>
          <w:szCs w:val="23"/>
        </w:rPr>
      </w:pPr>
      <w:r>
        <w:rPr>
          <w:rFonts w:ascii="ˎ̥" w:hAnsi="ˎ̥"/>
          <w:b/>
          <w:color w:val="000000"/>
          <w:sz w:val="23"/>
          <w:szCs w:val="23"/>
        </w:rPr>
        <w:t>第二条</w:t>
      </w:r>
      <w:r>
        <w:rPr>
          <w:rFonts w:ascii="ˎ̥" w:hAnsi="ˎ̥"/>
          <w:b/>
          <w:color w:val="000000"/>
          <w:sz w:val="23"/>
          <w:szCs w:val="23"/>
        </w:rPr>
        <w:t xml:space="preserve">   </w:t>
      </w:r>
      <w:r>
        <w:rPr>
          <w:rFonts w:ascii="ˎ̥" w:hAnsi="ˎ̥"/>
          <w:b/>
          <w:color w:val="000000"/>
          <w:sz w:val="23"/>
          <w:szCs w:val="23"/>
        </w:rPr>
        <w:t>实施模拟期权的原则</w:t>
      </w:r>
    </w:p>
    <w:p w14:paraId="16B1BDEE" w14:textId="77777777" w:rsidR="003B35AA" w:rsidRDefault="003B35AA">
      <w:pPr>
        <w:pStyle w:val="af3"/>
        <w:spacing w:line="435" w:lineRule="atLeast"/>
        <w:rPr>
          <w:rFonts w:ascii="ˎ̥" w:hAnsi="ˎ̥"/>
          <w:color w:val="000000"/>
          <w:sz w:val="23"/>
          <w:szCs w:val="23"/>
        </w:rPr>
      </w:pPr>
      <w:r>
        <w:rPr>
          <w:rFonts w:ascii="ˎ̥" w:hAnsi="ˎ̥"/>
          <w:color w:val="000000"/>
          <w:sz w:val="23"/>
          <w:szCs w:val="23"/>
        </w:rPr>
        <w:t>1</w:t>
      </w:r>
      <w:r>
        <w:rPr>
          <w:rFonts w:ascii="ˎ̥" w:hAnsi="ˎ̥"/>
          <w:color w:val="000000"/>
          <w:sz w:val="23"/>
          <w:szCs w:val="23"/>
        </w:rPr>
        <w:t>、受益人（模拟期权的持有人）不能无偿获得模拟期权，本方案中受益人所获得的模拟期权以认购规定的实有股份为前提；</w:t>
      </w:r>
    </w:p>
    <w:p w14:paraId="3BD009A2" w14:textId="77777777" w:rsidR="003B35AA" w:rsidRDefault="003B35AA">
      <w:pPr>
        <w:pStyle w:val="af3"/>
        <w:spacing w:line="435" w:lineRule="atLeast"/>
        <w:rPr>
          <w:rFonts w:ascii="ˎ̥" w:hAnsi="ˎ̥"/>
          <w:color w:val="000000"/>
          <w:sz w:val="23"/>
          <w:szCs w:val="23"/>
        </w:rPr>
      </w:pPr>
      <w:r>
        <w:rPr>
          <w:rFonts w:ascii="ˎ̥" w:hAnsi="ˎ̥"/>
          <w:color w:val="000000"/>
          <w:sz w:val="23"/>
          <w:szCs w:val="23"/>
        </w:rPr>
        <w:t>2</w:t>
      </w:r>
      <w:r>
        <w:rPr>
          <w:rFonts w:ascii="ˎ̥" w:hAnsi="ˎ̥"/>
          <w:color w:val="000000"/>
          <w:sz w:val="23"/>
          <w:szCs w:val="23"/>
        </w:rPr>
        <w:t>、模拟期权的股份来源为公司发起人提供的存量，即公司不以任何方式增加公司的注册资本，更不以这种方式作为模拟股票期权的来源，公司的发起人股东保证在任何条件下可能发生股东变化时，保证提供的作为现在和未来行权的模拟期权部分股份的稳定性，不得向任何自然人或法人、其他组织转让；</w:t>
      </w:r>
    </w:p>
    <w:p w14:paraId="370E7234" w14:textId="77777777" w:rsidR="003B35AA" w:rsidRDefault="003B35AA">
      <w:pPr>
        <w:pStyle w:val="af3"/>
        <w:spacing w:line="435" w:lineRule="atLeast"/>
        <w:rPr>
          <w:rFonts w:ascii="ˎ̥" w:hAnsi="ˎ̥"/>
          <w:color w:val="000000"/>
          <w:sz w:val="23"/>
          <w:szCs w:val="23"/>
        </w:rPr>
      </w:pPr>
      <w:r>
        <w:rPr>
          <w:rFonts w:ascii="ˎ̥" w:hAnsi="ˎ̥"/>
          <w:color w:val="000000"/>
          <w:sz w:val="23"/>
          <w:szCs w:val="23"/>
        </w:rPr>
        <w:t>3</w:t>
      </w:r>
      <w:r>
        <w:rPr>
          <w:rFonts w:ascii="ˎ̥" w:hAnsi="ˎ̥"/>
          <w:color w:val="000000"/>
          <w:sz w:val="23"/>
          <w:szCs w:val="23"/>
        </w:rPr>
        <w:t>、本次方案中，公司模拟期权制度的安排既着眼于解决历史遗留问题又着眼于公司的未来，以保证进一步吸引高级人才；</w:t>
      </w:r>
    </w:p>
    <w:p w14:paraId="40401360" w14:textId="77777777" w:rsidR="003B35AA" w:rsidRDefault="003B35AA">
      <w:pPr>
        <w:pStyle w:val="af3"/>
        <w:spacing w:line="435" w:lineRule="atLeast"/>
        <w:rPr>
          <w:rFonts w:ascii="ˎ̥" w:hAnsi="ˎ̥"/>
          <w:color w:val="000000"/>
          <w:sz w:val="23"/>
          <w:szCs w:val="23"/>
        </w:rPr>
      </w:pPr>
      <w:r>
        <w:rPr>
          <w:rFonts w:ascii="ˎ̥" w:hAnsi="ˎ̥"/>
          <w:color w:val="000000"/>
          <w:sz w:val="23"/>
          <w:szCs w:val="23"/>
        </w:rPr>
        <w:t>4</w:t>
      </w:r>
      <w:r>
        <w:rPr>
          <w:rFonts w:ascii="ˎ̥" w:hAnsi="ˎ̥"/>
          <w:color w:val="000000"/>
          <w:sz w:val="23"/>
          <w:szCs w:val="23"/>
        </w:rPr>
        <w:t>、本实施方案以激励高管、高级技术人员为核心，突出人力资本的价值，对一般可替换人员一般不予授予。</w:t>
      </w:r>
    </w:p>
    <w:p w14:paraId="75342596" w14:textId="77777777" w:rsidR="003B35AA" w:rsidRDefault="003B35AA">
      <w:pPr>
        <w:pStyle w:val="af3"/>
        <w:spacing w:line="435" w:lineRule="atLeast"/>
        <w:rPr>
          <w:rFonts w:ascii="ˎ̥" w:hAnsi="ˎ̥"/>
          <w:b/>
          <w:color w:val="000000"/>
          <w:sz w:val="23"/>
          <w:szCs w:val="23"/>
        </w:rPr>
      </w:pPr>
      <w:r>
        <w:rPr>
          <w:rFonts w:ascii="ˎ̥" w:hAnsi="ˎ̥"/>
          <w:b/>
          <w:color w:val="000000"/>
          <w:sz w:val="23"/>
          <w:szCs w:val="23"/>
        </w:rPr>
        <w:t>第三条</w:t>
      </w:r>
      <w:r>
        <w:rPr>
          <w:rFonts w:ascii="ˎ̥" w:hAnsi="ˎ̥"/>
          <w:b/>
          <w:color w:val="000000"/>
          <w:sz w:val="23"/>
          <w:szCs w:val="23"/>
        </w:rPr>
        <w:t xml:space="preserve">   </w:t>
      </w:r>
      <w:r>
        <w:rPr>
          <w:rFonts w:ascii="ˎ̥" w:hAnsi="ˎ̥"/>
          <w:b/>
          <w:color w:val="000000"/>
          <w:sz w:val="23"/>
          <w:szCs w:val="23"/>
        </w:rPr>
        <w:t>模拟股票期权的有关定义</w:t>
      </w:r>
    </w:p>
    <w:p w14:paraId="6C92D1EB" w14:textId="77777777" w:rsidR="003B35AA" w:rsidRDefault="003B35AA">
      <w:pPr>
        <w:pStyle w:val="af3"/>
        <w:spacing w:line="435" w:lineRule="atLeast"/>
        <w:rPr>
          <w:rFonts w:ascii="ˎ̥" w:hAnsi="ˎ̥"/>
          <w:color w:val="000000"/>
          <w:sz w:val="23"/>
          <w:szCs w:val="23"/>
        </w:rPr>
      </w:pPr>
      <w:r>
        <w:rPr>
          <w:rFonts w:ascii="ˎ̥" w:hAnsi="ˎ̥"/>
          <w:color w:val="000000"/>
          <w:sz w:val="23"/>
          <w:szCs w:val="23"/>
        </w:rPr>
        <w:t>1</w:t>
      </w:r>
      <w:r>
        <w:rPr>
          <w:rFonts w:ascii="ˎ̥" w:hAnsi="ˎ̥"/>
          <w:color w:val="000000"/>
          <w:sz w:val="23"/>
          <w:szCs w:val="23"/>
        </w:rPr>
        <w:t>、模拟股票期权：本方案中，模拟股票期权是具有独立特色的激励模式，是指公司原发起人股东将其持有的股份中的一定比例的股份，集合起来，并授权董事会管理，作为模拟股票期权的来源，按本方案中的规定，由受益人购买一定数额的股份，另外根据其购买股份的一定倍数，获得相应的利润分配权，在一定年度内用所分得的利润将配给的模拟期权股份延期行权为实股的过程。</w:t>
      </w:r>
    </w:p>
    <w:p w14:paraId="578C09E6" w14:textId="77777777" w:rsidR="003B35AA" w:rsidRDefault="003B35AA">
      <w:pPr>
        <w:pStyle w:val="af3"/>
        <w:spacing w:line="435" w:lineRule="atLeast"/>
        <w:rPr>
          <w:rFonts w:ascii="ˎ̥" w:hAnsi="ˎ̥"/>
          <w:color w:val="000000"/>
          <w:sz w:val="23"/>
          <w:szCs w:val="23"/>
        </w:rPr>
      </w:pPr>
      <w:r>
        <w:rPr>
          <w:rFonts w:ascii="ˎ̥" w:hAnsi="ˎ̥"/>
          <w:color w:val="000000"/>
          <w:sz w:val="23"/>
          <w:szCs w:val="23"/>
        </w:rPr>
        <w:lastRenderedPageBreak/>
        <w:t>2</w:t>
      </w:r>
      <w:r>
        <w:rPr>
          <w:rFonts w:ascii="ˎ̥" w:hAnsi="ˎ̥"/>
          <w:color w:val="000000"/>
          <w:sz w:val="23"/>
          <w:szCs w:val="23"/>
        </w:rPr>
        <w:t>、模拟股票期权的持有人：满足本方案的模拟期权授予条件，并经公司董事会批准获得模拟期权的人，即模拟期权的受益人。</w:t>
      </w:r>
    </w:p>
    <w:p w14:paraId="32649B31" w14:textId="77777777" w:rsidR="003B35AA" w:rsidRDefault="003B35AA">
      <w:pPr>
        <w:pStyle w:val="af3"/>
        <w:spacing w:line="435" w:lineRule="atLeast"/>
        <w:rPr>
          <w:rFonts w:ascii="ˎ̥" w:hAnsi="ˎ̥"/>
          <w:color w:val="000000"/>
          <w:sz w:val="23"/>
          <w:szCs w:val="23"/>
        </w:rPr>
      </w:pPr>
      <w:r>
        <w:rPr>
          <w:rFonts w:ascii="ˎ̥" w:hAnsi="ˎ̥"/>
          <w:color w:val="000000"/>
          <w:sz w:val="23"/>
          <w:szCs w:val="23"/>
        </w:rPr>
        <w:t>3</w:t>
      </w:r>
      <w:r>
        <w:rPr>
          <w:rFonts w:ascii="ˎ̥" w:hAnsi="ˎ̥"/>
          <w:color w:val="000000"/>
          <w:sz w:val="23"/>
          <w:szCs w:val="23"/>
        </w:rPr>
        <w:t>、行权：是指模拟股票期权的持有人将其持有的模拟期权股份按本方案的有关规定，变更为公司股份的真正持有人（即股东）的行为，行权将直接导致其权利的变更，即由享有利润分配权变更为享有公司法规定的股东的所有权利。</w:t>
      </w:r>
    </w:p>
    <w:p w14:paraId="58A26A16" w14:textId="77777777" w:rsidR="003B35AA" w:rsidRDefault="003B35AA">
      <w:pPr>
        <w:pStyle w:val="af3"/>
        <w:spacing w:line="435" w:lineRule="atLeast"/>
        <w:rPr>
          <w:rFonts w:ascii="ˎ̥" w:hAnsi="ˎ̥"/>
          <w:color w:val="000000"/>
          <w:sz w:val="23"/>
          <w:szCs w:val="23"/>
        </w:rPr>
      </w:pPr>
      <w:r>
        <w:rPr>
          <w:rFonts w:ascii="ˎ̥" w:hAnsi="ˎ̥"/>
          <w:color w:val="000000"/>
          <w:sz w:val="23"/>
          <w:szCs w:val="23"/>
        </w:rPr>
        <w:t>4</w:t>
      </w:r>
      <w:r>
        <w:rPr>
          <w:rFonts w:ascii="ˎ̥" w:hAnsi="ˎ̥"/>
          <w:color w:val="000000"/>
          <w:sz w:val="23"/>
          <w:szCs w:val="23"/>
        </w:rPr>
        <w:t>、行权期：是指本方案规定，模拟股票期权的持有人将其持有的模拟期权变更为实质意义上的股份的时间。</w:t>
      </w:r>
    </w:p>
    <w:p w14:paraId="69CCAC2D" w14:textId="77777777" w:rsidR="003B35AA" w:rsidRDefault="003B35AA">
      <w:pPr>
        <w:pStyle w:val="af3"/>
        <w:spacing w:line="435" w:lineRule="atLeast"/>
        <w:rPr>
          <w:rFonts w:ascii="ˎ̥" w:hAnsi="ˎ̥"/>
          <w:b/>
          <w:color w:val="000000"/>
          <w:sz w:val="23"/>
          <w:szCs w:val="23"/>
        </w:rPr>
      </w:pPr>
      <w:r>
        <w:rPr>
          <w:rFonts w:ascii="ˎ̥" w:hAnsi="ˎ̥"/>
          <w:b/>
          <w:color w:val="000000"/>
          <w:sz w:val="23"/>
          <w:szCs w:val="23"/>
        </w:rPr>
        <w:t>第二章</w:t>
      </w:r>
      <w:r>
        <w:rPr>
          <w:rFonts w:ascii="ˎ̥" w:hAnsi="ˎ̥"/>
          <w:b/>
          <w:color w:val="000000"/>
          <w:sz w:val="23"/>
          <w:szCs w:val="23"/>
        </w:rPr>
        <w:t xml:space="preserve">   </w:t>
      </w:r>
      <w:r>
        <w:rPr>
          <w:rFonts w:ascii="ˎ̥" w:hAnsi="ˎ̥"/>
          <w:b/>
          <w:color w:val="000000"/>
          <w:sz w:val="23"/>
          <w:szCs w:val="23"/>
        </w:rPr>
        <w:t>模拟股票期权的股份来源及相关权利安排</w:t>
      </w:r>
    </w:p>
    <w:p w14:paraId="6BF6208C" w14:textId="77777777" w:rsidR="003B35AA" w:rsidRDefault="003B35AA">
      <w:pPr>
        <w:pStyle w:val="af3"/>
        <w:spacing w:line="435" w:lineRule="atLeast"/>
        <w:rPr>
          <w:rFonts w:ascii="ˎ̥" w:hAnsi="ˎ̥"/>
          <w:b/>
          <w:color w:val="000000"/>
          <w:sz w:val="23"/>
          <w:szCs w:val="23"/>
        </w:rPr>
      </w:pPr>
      <w:r>
        <w:rPr>
          <w:rFonts w:ascii="ˎ̥" w:hAnsi="ˎ̥"/>
          <w:b/>
          <w:color w:val="000000"/>
          <w:sz w:val="23"/>
          <w:szCs w:val="23"/>
        </w:rPr>
        <w:t>第四条</w:t>
      </w:r>
      <w:r>
        <w:rPr>
          <w:rFonts w:ascii="ˎ̥" w:hAnsi="ˎ̥"/>
          <w:b/>
          <w:color w:val="000000"/>
          <w:sz w:val="23"/>
          <w:szCs w:val="23"/>
        </w:rPr>
        <w:t xml:space="preserve">   </w:t>
      </w:r>
      <w:r>
        <w:rPr>
          <w:rFonts w:ascii="ˎ̥" w:hAnsi="ˎ̥"/>
          <w:b/>
          <w:color w:val="000000"/>
          <w:sz w:val="23"/>
          <w:szCs w:val="23"/>
        </w:rPr>
        <w:t>模拟股票期权的股份来源</w:t>
      </w:r>
    </w:p>
    <w:p w14:paraId="5C4B91C5" w14:textId="77777777" w:rsidR="003B35AA" w:rsidRDefault="003B35AA">
      <w:pPr>
        <w:pStyle w:val="af3"/>
        <w:spacing w:line="435" w:lineRule="atLeast"/>
        <w:rPr>
          <w:rFonts w:ascii="ˎ̥" w:hAnsi="ˎ̥"/>
          <w:color w:val="000000"/>
          <w:sz w:val="23"/>
          <w:szCs w:val="23"/>
        </w:rPr>
      </w:pPr>
      <w:r>
        <w:rPr>
          <w:rFonts w:ascii="ˎ̥" w:hAnsi="ˎ̥"/>
          <w:color w:val="000000"/>
          <w:sz w:val="23"/>
          <w:szCs w:val="23"/>
        </w:rPr>
        <w:t>模拟股票期权的来源为公司发起人股东提供，提供比例分别为</w:t>
      </w:r>
      <w:r>
        <w:rPr>
          <w:rFonts w:ascii="ˎ̥" w:hAnsi="ˎ̥"/>
          <w:color w:val="000000"/>
          <w:sz w:val="23"/>
          <w:szCs w:val="23"/>
        </w:rPr>
        <w:t xml:space="preserve">            </w:t>
      </w:r>
      <w:r>
        <w:rPr>
          <w:rFonts w:ascii="ˎ̥" w:hAnsi="ˎ̥"/>
          <w:color w:val="000000"/>
          <w:sz w:val="23"/>
          <w:szCs w:val="23"/>
        </w:rPr>
        <w:t>，占公司注册资本的比例为：</w:t>
      </w:r>
    </w:p>
    <w:p w14:paraId="5A241698" w14:textId="77777777" w:rsidR="003B35AA" w:rsidRDefault="003B35AA">
      <w:pPr>
        <w:pStyle w:val="af3"/>
        <w:spacing w:line="435" w:lineRule="atLeast"/>
        <w:rPr>
          <w:rFonts w:ascii="ˎ̥" w:hAnsi="ˎ̥"/>
          <w:color w:val="000000"/>
          <w:sz w:val="23"/>
          <w:szCs w:val="23"/>
        </w:rPr>
      </w:pPr>
      <w:r>
        <w:rPr>
          <w:rFonts w:ascii="ˎ̥" w:hAnsi="ˎ̥"/>
          <w:b/>
          <w:color w:val="000000"/>
          <w:sz w:val="23"/>
          <w:szCs w:val="23"/>
        </w:rPr>
        <w:t>第五条</w:t>
      </w:r>
      <w:r>
        <w:rPr>
          <w:rFonts w:ascii="ˎ̥" w:hAnsi="ˎ̥"/>
          <w:b/>
          <w:color w:val="000000"/>
          <w:sz w:val="23"/>
          <w:szCs w:val="23"/>
        </w:rPr>
        <w:t xml:space="preserve">   </w:t>
      </w:r>
      <w:r>
        <w:rPr>
          <w:rFonts w:ascii="ˎ̥" w:hAnsi="ˎ̥"/>
          <w:b/>
          <w:color w:val="000000"/>
          <w:sz w:val="23"/>
          <w:szCs w:val="23"/>
        </w:rPr>
        <w:t>在模拟期权持有人持有模拟期权，模拟期权股份尚未按本方案的约定转化为持有人的实有股份时，除利润分配权外的其他权利仍为发起人股东所享有；</w:t>
      </w:r>
    </w:p>
    <w:p w14:paraId="3583B1DE" w14:textId="77777777" w:rsidR="003B35AA" w:rsidRDefault="003B35AA">
      <w:pPr>
        <w:pStyle w:val="af3"/>
        <w:spacing w:line="435" w:lineRule="atLeast"/>
        <w:rPr>
          <w:rFonts w:ascii="ˎ̥" w:hAnsi="ˎ̥"/>
          <w:b/>
          <w:color w:val="000000"/>
          <w:sz w:val="23"/>
          <w:szCs w:val="23"/>
        </w:rPr>
      </w:pPr>
      <w:r>
        <w:rPr>
          <w:rFonts w:ascii="ˎ̥" w:hAnsi="ˎ̥"/>
          <w:b/>
          <w:color w:val="000000"/>
          <w:sz w:val="23"/>
          <w:szCs w:val="23"/>
        </w:rPr>
        <w:t>第六条</w:t>
      </w:r>
      <w:r>
        <w:rPr>
          <w:rFonts w:ascii="ˎ̥" w:hAnsi="ˎ̥"/>
          <w:b/>
          <w:color w:val="000000"/>
          <w:sz w:val="23"/>
          <w:szCs w:val="23"/>
        </w:rPr>
        <w:t xml:space="preserve">   </w:t>
      </w:r>
      <w:r>
        <w:rPr>
          <w:rFonts w:ascii="ˎ̥" w:hAnsi="ˎ̥"/>
          <w:b/>
          <w:color w:val="000000"/>
          <w:sz w:val="23"/>
          <w:szCs w:val="23"/>
        </w:rPr>
        <w:t>对受益人授予模拟期权的行为及权利由公司股东会享有，董事会根据股东会授权执行；</w:t>
      </w:r>
    </w:p>
    <w:p w14:paraId="184B53AA" w14:textId="77777777" w:rsidR="003B35AA" w:rsidRDefault="003B35AA">
      <w:pPr>
        <w:pStyle w:val="af3"/>
        <w:spacing w:line="435" w:lineRule="atLeast"/>
        <w:rPr>
          <w:rFonts w:ascii="ˎ̥" w:hAnsi="ˎ̥"/>
          <w:b/>
          <w:color w:val="000000"/>
          <w:sz w:val="23"/>
          <w:szCs w:val="23"/>
        </w:rPr>
      </w:pPr>
      <w:r>
        <w:rPr>
          <w:rFonts w:ascii="ˎ̥" w:hAnsi="ˎ̥"/>
          <w:b/>
          <w:color w:val="000000"/>
          <w:sz w:val="23"/>
          <w:szCs w:val="23"/>
        </w:rPr>
        <w:t>第三章</w:t>
      </w:r>
      <w:r>
        <w:rPr>
          <w:rFonts w:ascii="ˎ̥" w:hAnsi="ˎ̥"/>
          <w:b/>
          <w:color w:val="000000"/>
          <w:sz w:val="23"/>
          <w:szCs w:val="23"/>
        </w:rPr>
        <w:t xml:space="preserve">   </w:t>
      </w:r>
      <w:r>
        <w:rPr>
          <w:rFonts w:ascii="ˎ̥" w:hAnsi="ˎ̥"/>
          <w:b/>
          <w:color w:val="000000"/>
          <w:sz w:val="23"/>
          <w:szCs w:val="23"/>
        </w:rPr>
        <w:t>模拟期权受益人的范围</w:t>
      </w:r>
    </w:p>
    <w:p w14:paraId="1CD55536" w14:textId="77777777" w:rsidR="003B35AA" w:rsidRDefault="003B35AA">
      <w:pPr>
        <w:pStyle w:val="af3"/>
        <w:spacing w:line="435" w:lineRule="atLeast"/>
        <w:rPr>
          <w:rFonts w:ascii="ˎ̥" w:hAnsi="ˎ̥"/>
          <w:b/>
          <w:color w:val="000000"/>
          <w:sz w:val="23"/>
          <w:szCs w:val="23"/>
        </w:rPr>
      </w:pPr>
      <w:r>
        <w:rPr>
          <w:rFonts w:ascii="ˎ̥" w:hAnsi="ˎ̥"/>
          <w:b/>
          <w:color w:val="000000"/>
          <w:sz w:val="23"/>
          <w:szCs w:val="23"/>
        </w:rPr>
        <w:t>第七条</w:t>
      </w:r>
      <w:r>
        <w:rPr>
          <w:rFonts w:ascii="ˎ̥" w:hAnsi="ˎ̥"/>
          <w:b/>
          <w:color w:val="000000"/>
          <w:sz w:val="23"/>
          <w:szCs w:val="23"/>
        </w:rPr>
        <w:t xml:space="preserve">   </w:t>
      </w:r>
      <w:r>
        <w:rPr>
          <w:rFonts w:ascii="ˎ̥" w:hAnsi="ˎ̥"/>
          <w:b/>
          <w:color w:val="000000"/>
          <w:sz w:val="23"/>
          <w:szCs w:val="23"/>
        </w:rPr>
        <w:t>本方案模拟期权受益人范围确定的标准为按公司的关键岗位确定，实行按岗定人，以避免模拟期权授予行为的随意性。对公司有特殊贡献但不符合本方案规定的受益人范围的，经董事会提请股东会通过，可以授予模拟股票期权；</w:t>
      </w:r>
    </w:p>
    <w:p w14:paraId="3F32B1CA" w14:textId="77777777" w:rsidR="003B35AA" w:rsidRDefault="003B35AA">
      <w:pPr>
        <w:pStyle w:val="af3"/>
        <w:spacing w:line="435" w:lineRule="atLeast"/>
        <w:rPr>
          <w:rFonts w:ascii="ˎ̥" w:hAnsi="ˎ̥"/>
          <w:b/>
          <w:color w:val="000000"/>
          <w:sz w:val="23"/>
          <w:szCs w:val="23"/>
        </w:rPr>
      </w:pPr>
      <w:r>
        <w:rPr>
          <w:rFonts w:ascii="ˎ̥" w:hAnsi="ˎ̥"/>
          <w:b/>
          <w:color w:val="000000"/>
          <w:sz w:val="23"/>
          <w:szCs w:val="23"/>
        </w:rPr>
        <w:t>第八条</w:t>
      </w:r>
      <w:r>
        <w:rPr>
          <w:rFonts w:ascii="ˎ̥" w:hAnsi="ˎ̥"/>
          <w:b/>
          <w:color w:val="000000"/>
          <w:sz w:val="23"/>
          <w:szCs w:val="23"/>
        </w:rPr>
        <w:t xml:space="preserve">   </w:t>
      </w:r>
      <w:r>
        <w:rPr>
          <w:rFonts w:ascii="ˎ̥" w:hAnsi="ˎ̥"/>
          <w:b/>
          <w:color w:val="000000"/>
          <w:sz w:val="23"/>
          <w:szCs w:val="23"/>
        </w:rPr>
        <w:t>对本方案执行过程中因公司机构调整所发生的岗位变化，增加岗位，影响模拟期权受益人范围的，由公司股东会予以确定，董事会执行，对裁减岗位中原有已经授予模拟期权的人员不得取消、变更、终止；</w:t>
      </w:r>
    </w:p>
    <w:p w14:paraId="16DB5C91" w14:textId="77777777" w:rsidR="003B35AA" w:rsidRDefault="003B35AA">
      <w:pPr>
        <w:pStyle w:val="af3"/>
        <w:spacing w:line="435" w:lineRule="atLeast"/>
        <w:rPr>
          <w:rFonts w:ascii="ˎ̥" w:hAnsi="ˎ̥"/>
          <w:b/>
          <w:color w:val="000000"/>
          <w:sz w:val="23"/>
          <w:szCs w:val="23"/>
        </w:rPr>
      </w:pPr>
      <w:r>
        <w:rPr>
          <w:rFonts w:ascii="ˎ̥" w:hAnsi="ˎ̥"/>
          <w:b/>
          <w:color w:val="000000"/>
          <w:sz w:val="23"/>
          <w:szCs w:val="23"/>
        </w:rPr>
        <w:t>第九条</w:t>
      </w:r>
      <w:r>
        <w:rPr>
          <w:rFonts w:ascii="ˎ̥" w:hAnsi="ˎ̥"/>
          <w:b/>
          <w:color w:val="000000"/>
          <w:sz w:val="23"/>
          <w:szCs w:val="23"/>
        </w:rPr>
        <w:t xml:space="preserve">   </w:t>
      </w:r>
      <w:r>
        <w:rPr>
          <w:rFonts w:ascii="ˎ̥" w:hAnsi="ˎ̥"/>
          <w:b/>
          <w:color w:val="000000"/>
          <w:sz w:val="23"/>
          <w:szCs w:val="23"/>
        </w:rPr>
        <w:t>本方案确定的受益人范围为：</w:t>
      </w:r>
    </w:p>
    <w:p w14:paraId="787AD368" w14:textId="77777777" w:rsidR="003B35AA" w:rsidRDefault="003B35AA">
      <w:pPr>
        <w:pStyle w:val="af3"/>
        <w:spacing w:line="435" w:lineRule="atLeast"/>
        <w:rPr>
          <w:rFonts w:ascii="ˎ̥" w:hAnsi="ˎ̥"/>
          <w:color w:val="000000"/>
          <w:sz w:val="23"/>
          <w:szCs w:val="23"/>
        </w:rPr>
      </w:pPr>
      <w:r>
        <w:rPr>
          <w:rFonts w:ascii="ˎ̥" w:hAnsi="ˎ̥"/>
          <w:color w:val="000000"/>
          <w:sz w:val="23"/>
          <w:szCs w:val="23"/>
        </w:rPr>
        <w:t>1</w:t>
      </w:r>
      <w:r>
        <w:rPr>
          <w:rFonts w:ascii="ˎ̥" w:hAnsi="ˎ̥"/>
          <w:color w:val="000000"/>
          <w:sz w:val="23"/>
          <w:szCs w:val="23"/>
        </w:rPr>
        <w:t>、</w:t>
      </w:r>
    </w:p>
    <w:p w14:paraId="1B0D277B" w14:textId="77777777" w:rsidR="003B35AA" w:rsidRDefault="003B35AA">
      <w:pPr>
        <w:pStyle w:val="af3"/>
        <w:spacing w:line="435" w:lineRule="atLeast"/>
        <w:rPr>
          <w:rFonts w:ascii="ˎ̥" w:hAnsi="ˎ̥"/>
          <w:color w:val="000000"/>
          <w:sz w:val="23"/>
          <w:szCs w:val="23"/>
        </w:rPr>
      </w:pPr>
      <w:r>
        <w:rPr>
          <w:rFonts w:ascii="ˎ̥" w:hAnsi="ˎ̥"/>
          <w:color w:val="000000"/>
          <w:sz w:val="23"/>
          <w:szCs w:val="23"/>
        </w:rPr>
        <w:lastRenderedPageBreak/>
        <w:t>2</w:t>
      </w:r>
      <w:r>
        <w:rPr>
          <w:rFonts w:ascii="ˎ̥" w:hAnsi="ˎ̥"/>
          <w:color w:val="000000"/>
          <w:sz w:val="23"/>
          <w:szCs w:val="23"/>
        </w:rPr>
        <w:t>、</w:t>
      </w:r>
    </w:p>
    <w:p w14:paraId="62B06655" w14:textId="77777777" w:rsidR="003B35AA" w:rsidRDefault="003B35AA">
      <w:pPr>
        <w:pStyle w:val="af3"/>
        <w:spacing w:line="435" w:lineRule="atLeast"/>
        <w:rPr>
          <w:rFonts w:ascii="ˎ̥" w:hAnsi="ˎ̥"/>
          <w:color w:val="000000"/>
          <w:sz w:val="23"/>
          <w:szCs w:val="23"/>
        </w:rPr>
      </w:pPr>
      <w:r>
        <w:rPr>
          <w:rFonts w:ascii="ˎ̥" w:hAnsi="ˎ̥"/>
          <w:color w:val="000000"/>
          <w:sz w:val="23"/>
          <w:szCs w:val="23"/>
        </w:rPr>
        <w:t>3</w:t>
      </w:r>
      <w:r>
        <w:rPr>
          <w:rFonts w:ascii="ˎ̥" w:hAnsi="ˎ̥"/>
          <w:color w:val="000000"/>
          <w:sz w:val="23"/>
          <w:szCs w:val="23"/>
        </w:rPr>
        <w:t>、</w:t>
      </w:r>
    </w:p>
    <w:p w14:paraId="2452C41D" w14:textId="77777777" w:rsidR="003B35AA" w:rsidRDefault="003B35AA">
      <w:pPr>
        <w:pStyle w:val="af3"/>
        <w:spacing w:line="435" w:lineRule="atLeast"/>
        <w:rPr>
          <w:rFonts w:ascii="ˎ̥" w:hAnsi="ˎ̥"/>
          <w:b/>
          <w:color w:val="000000"/>
          <w:sz w:val="23"/>
          <w:szCs w:val="23"/>
        </w:rPr>
      </w:pPr>
      <w:r>
        <w:rPr>
          <w:rFonts w:ascii="ˎ̥" w:hAnsi="ˎ̥"/>
          <w:b/>
          <w:color w:val="000000"/>
          <w:sz w:val="23"/>
          <w:szCs w:val="23"/>
        </w:rPr>
        <w:t>第四章</w:t>
      </w:r>
      <w:r>
        <w:rPr>
          <w:rFonts w:ascii="ˎ̥" w:hAnsi="ˎ̥"/>
          <w:b/>
          <w:color w:val="000000"/>
          <w:sz w:val="23"/>
          <w:szCs w:val="23"/>
        </w:rPr>
        <w:t xml:space="preserve">   </w:t>
      </w:r>
      <w:r>
        <w:rPr>
          <w:rFonts w:ascii="ˎ̥" w:hAnsi="ˎ̥"/>
          <w:b/>
          <w:color w:val="000000"/>
          <w:sz w:val="23"/>
          <w:szCs w:val="23"/>
        </w:rPr>
        <w:t>模拟股票期权的授予数量、期限及时机</w:t>
      </w:r>
    </w:p>
    <w:p w14:paraId="163A6255" w14:textId="77777777" w:rsidR="003B35AA" w:rsidRDefault="003B35AA">
      <w:pPr>
        <w:pStyle w:val="af3"/>
        <w:spacing w:line="435" w:lineRule="atLeast"/>
        <w:rPr>
          <w:rFonts w:ascii="ˎ̥" w:hAnsi="ˎ̥"/>
          <w:b/>
          <w:color w:val="000000"/>
          <w:sz w:val="23"/>
          <w:szCs w:val="23"/>
        </w:rPr>
      </w:pPr>
      <w:r>
        <w:rPr>
          <w:rFonts w:ascii="ˎ̥" w:hAnsi="ˎ̥"/>
          <w:b/>
          <w:color w:val="000000"/>
          <w:sz w:val="23"/>
          <w:szCs w:val="23"/>
        </w:rPr>
        <w:t>第十条</w:t>
      </w:r>
      <w:r>
        <w:rPr>
          <w:rFonts w:ascii="ˎ̥" w:hAnsi="ˎ̥"/>
          <w:b/>
          <w:color w:val="000000"/>
          <w:sz w:val="23"/>
          <w:szCs w:val="23"/>
        </w:rPr>
        <w:t xml:space="preserve">   </w:t>
      </w:r>
      <w:r>
        <w:rPr>
          <w:rFonts w:ascii="ˎ̥" w:hAnsi="ˎ̥"/>
          <w:b/>
          <w:color w:val="000000"/>
          <w:sz w:val="23"/>
          <w:szCs w:val="23"/>
        </w:rPr>
        <w:t>模拟期权的授予数量</w:t>
      </w:r>
    </w:p>
    <w:p w14:paraId="58DB0987" w14:textId="77777777" w:rsidR="003B35AA" w:rsidRDefault="003B35AA">
      <w:pPr>
        <w:pStyle w:val="af3"/>
        <w:spacing w:line="435" w:lineRule="atLeast"/>
        <w:rPr>
          <w:rFonts w:ascii="ˎ̥" w:hAnsi="ˎ̥"/>
          <w:color w:val="000000"/>
          <w:sz w:val="23"/>
          <w:szCs w:val="23"/>
        </w:rPr>
      </w:pPr>
      <w:r>
        <w:rPr>
          <w:rFonts w:ascii="ˎ̥" w:hAnsi="ˎ̥"/>
          <w:color w:val="000000"/>
          <w:sz w:val="23"/>
          <w:szCs w:val="23"/>
        </w:rPr>
        <w:t>1</w:t>
      </w:r>
      <w:r>
        <w:rPr>
          <w:rFonts w:ascii="ˎ̥" w:hAnsi="ˎ̥"/>
          <w:color w:val="000000"/>
          <w:sz w:val="23"/>
          <w:szCs w:val="23"/>
        </w:rPr>
        <w:t>、本方案模拟期权的拟授予数量总量为：</w:t>
      </w:r>
      <w:r>
        <w:rPr>
          <w:rFonts w:ascii="ˎ̥" w:hAnsi="ˎ̥"/>
          <w:color w:val="000000"/>
          <w:sz w:val="23"/>
          <w:szCs w:val="23"/>
        </w:rPr>
        <w:t xml:space="preserve">         </w:t>
      </w:r>
      <w:r>
        <w:rPr>
          <w:rFonts w:ascii="ˎ̥" w:hAnsi="ˎ̥"/>
          <w:color w:val="000000"/>
          <w:sz w:val="23"/>
          <w:szCs w:val="23"/>
        </w:rPr>
        <w:t>，即公司注册资本的</w:t>
      </w:r>
      <w:r>
        <w:rPr>
          <w:rFonts w:ascii="ˎ̥" w:hAnsi="ˎ̥"/>
          <w:color w:val="000000"/>
          <w:sz w:val="23"/>
          <w:szCs w:val="23"/>
        </w:rPr>
        <w:t xml:space="preserve"> %</w:t>
      </w:r>
      <w:r>
        <w:rPr>
          <w:rFonts w:ascii="ˎ̥" w:hAnsi="ˎ̥"/>
          <w:color w:val="000000"/>
          <w:sz w:val="23"/>
          <w:szCs w:val="23"/>
        </w:rPr>
        <w:t>，其中，</w:t>
      </w:r>
      <w:r>
        <w:rPr>
          <w:rFonts w:ascii="ˎ̥" w:hAnsi="ˎ̥"/>
          <w:color w:val="000000"/>
          <w:sz w:val="23"/>
          <w:szCs w:val="23"/>
        </w:rPr>
        <w:t xml:space="preserve">      </w:t>
      </w:r>
      <w:r>
        <w:rPr>
          <w:rFonts w:ascii="ˎ̥" w:hAnsi="ˎ̥"/>
          <w:color w:val="000000"/>
          <w:sz w:val="23"/>
          <w:szCs w:val="23"/>
        </w:rPr>
        <w:t>作为初次授予时的实股备用量，</w:t>
      </w:r>
      <w:r>
        <w:rPr>
          <w:rFonts w:ascii="ˎ̥" w:hAnsi="ˎ̥"/>
          <w:color w:val="000000"/>
          <w:sz w:val="23"/>
          <w:szCs w:val="23"/>
        </w:rPr>
        <w:t xml:space="preserve">        </w:t>
      </w:r>
      <w:r>
        <w:rPr>
          <w:rFonts w:ascii="ˎ̥" w:hAnsi="ˎ̥"/>
          <w:color w:val="000000"/>
          <w:sz w:val="23"/>
          <w:szCs w:val="23"/>
        </w:rPr>
        <w:t>作为向受益人配给期股的数量；</w:t>
      </w:r>
    </w:p>
    <w:p w14:paraId="66097827" w14:textId="77777777" w:rsidR="003B35AA" w:rsidRDefault="003B35AA">
      <w:pPr>
        <w:pStyle w:val="af3"/>
        <w:spacing w:line="435" w:lineRule="atLeast"/>
        <w:rPr>
          <w:rFonts w:ascii="ˎ̥" w:hAnsi="ˎ̥"/>
          <w:color w:val="000000"/>
          <w:sz w:val="23"/>
          <w:szCs w:val="23"/>
        </w:rPr>
      </w:pPr>
      <w:r>
        <w:rPr>
          <w:rFonts w:ascii="ˎ̥" w:hAnsi="ˎ̥"/>
          <w:color w:val="000000"/>
          <w:sz w:val="23"/>
          <w:szCs w:val="23"/>
        </w:rPr>
        <w:t>2</w:t>
      </w:r>
      <w:r>
        <w:rPr>
          <w:rFonts w:ascii="ˎ̥" w:hAnsi="ˎ̥"/>
          <w:color w:val="000000"/>
          <w:sz w:val="23"/>
          <w:szCs w:val="23"/>
        </w:rPr>
        <w:t>、每个受益人的授予数量，实股为不多于</w:t>
      </w:r>
      <w:r>
        <w:rPr>
          <w:rFonts w:ascii="ˎ̥" w:hAnsi="ˎ̥"/>
          <w:color w:val="000000"/>
          <w:sz w:val="23"/>
          <w:szCs w:val="23"/>
        </w:rPr>
        <w:t xml:space="preserve">        </w:t>
      </w:r>
      <w:r>
        <w:rPr>
          <w:rFonts w:ascii="ˎ̥" w:hAnsi="ˎ̥"/>
          <w:color w:val="000000"/>
          <w:sz w:val="23"/>
          <w:szCs w:val="23"/>
        </w:rPr>
        <w:t>，模拟的期股按实股的二倍配给，具体数量由公司董事会予以确定，但应保证同一级别岗位人员授予数量的均衡；</w:t>
      </w:r>
    </w:p>
    <w:p w14:paraId="14535087" w14:textId="77777777" w:rsidR="003B35AA" w:rsidRDefault="003B35AA">
      <w:pPr>
        <w:pStyle w:val="af3"/>
        <w:spacing w:line="435" w:lineRule="atLeast"/>
        <w:rPr>
          <w:rFonts w:ascii="ˎ̥" w:hAnsi="ˎ̥"/>
          <w:color w:val="000000"/>
          <w:sz w:val="23"/>
          <w:szCs w:val="23"/>
        </w:rPr>
      </w:pPr>
      <w:r>
        <w:rPr>
          <w:rFonts w:ascii="ˎ̥" w:hAnsi="ˎ̥"/>
          <w:color w:val="000000"/>
          <w:sz w:val="23"/>
          <w:szCs w:val="23"/>
        </w:rPr>
        <w:t>3</w:t>
      </w:r>
      <w:r>
        <w:rPr>
          <w:rFonts w:ascii="ˎ̥" w:hAnsi="ˎ̥"/>
          <w:color w:val="000000"/>
          <w:sz w:val="23"/>
          <w:szCs w:val="23"/>
        </w:rPr>
        <w:t>、受益人购买实股的价格按所占模拟股票期权授予年度的上一年度的净资产的二倍予以认购。受益人认购实股部分的价款归原提供模拟股票期权的股东所有，视同股份转让款。受益人缴纳价款的时间为与公司签订授予模拟股票期权协议后的三日内。受益人不能放弃实股部分的股份认购，否则，放弃实股认购权的视同同时放弃被授予模拟股票期权的权利；</w:t>
      </w:r>
    </w:p>
    <w:p w14:paraId="5B451525" w14:textId="77777777" w:rsidR="003B35AA" w:rsidRDefault="003B35AA">
      <w:pPr>
        <w:pStyle w:val="af3"/>
        <w:spacing w:line="435" w:lineRule="atLeast"/>
        <w:rPr>
          <w:rFonts w:ascii="ˎ̥" w:hAnsi="ˎ̥"/>
          <w:b/>
          <w:color w:val="000000"/>
          <w:sz w:val="23"/>
          <w:szCs w:val="23"/>
        </w:rPr>
      </w:pPr>
      <w:r>
        <w:rPr>
          <w:rFonts w:ascii="ˎ̥" w:hAnsi="ˎ̥"/>
          <w:b/>
          <w:color w:val="000000"/>
          <w:sz w:val="23"/>
          <w:szCs w:val="23"/>
        </w:rPr>
        <w:t>第十一条</w:t>
      </w:r>
      <w:r>
        <w:rPr>
          <w:rFonts w:ascii="ˎ̥" w:hAnsi="ˎ̥"/>
          <w:b/>
          <w:color w:val="000000"/>
          <w:sz w:val="23"/>
          <w:szCs w:val="23"/>
        </w:rPr>
        <w:t xml:space="preserve">   </w:t>
      </w:r>
      <w:r>
        <w:rPr>
          <w:rFonts w:ascii="ˎ̥" w:hAnsi="ˎ̥"/>
          <w:b/>
          <w:color w:val="000000"/>
          <w:sz w:val="23"/>
          <w:szCs w:val="23"/>
        </w:rPr>
        <w:t>模拟股票期权的授予期限</w:t>
      </w:r>
    </w:p>
    <w:p w14:paraId="04491EF0" w14:textId="77777777" w:rsidR="003B35AA" w:rsidRDefault="003B35AA">
      <w:pPr>
        <w:pStyle w:val="af3"/>
        <w:spacing w:line="435" w:lineRule="atLeast"/>
        <w:rPr>
          <w:rFonts w:ascii="ˎ̥" w:hAnsi="ˎ̥"/>
          <w:color w:val="000000"/>
          <w:sz w:val="23"/>
          <w:szCs w:val="23"/>
        </w:rPr>
      </w:pPr>
      <w:r>
        <w:rPr>
          <w:rFonts w:ascii="ˎ̥" w:hAnsi="ˎ̥"/>
          <w:color w:val="000000"/>
          <w:sz w:val="23"/>
          <w:szCs w:val="23"/>
        </w:rPr>
        <w:t>1</w:t>
      </w:r>
      <w:r>
        <w:rPr>
          <w:rFonts w:ascii="ˎ̥" w:hAnsi="ˎ̥"/>
          <w:color w:val="000000"/>
          <w:sz w:val="23"/>
          <w:szCs w:val="23"/>
        </w:rPr>
        <w:t>、本模拟股票期权的授予期限为六年，受益人每两年以个人被授予模拟期权数量的三分之一进行行权。</w:t>
      </w:r>
    </w:p>
    <w:p w14:paraId="04347F49" w14:textId="77777777" w:rsidR="003B35AA" w:rsidRDefault="003B35AA">
      <w:pPr>
        <w:pStyle w:val="af3"/>
        <w:spacing w:line="435" w:lineRule="atLeast"/>
        <w:rPr>
          <w:rFonts w:ascii="ˎ̥" w:hAnsi="ˎ̥"/>
          <w:color w:val="000000"/>
          <w:sz w:val="23"/>
          <w:szCs w:val="23"/>
        </w:rPr>
      </w:pPr>
      <w:r>
        <w:rPr>
          <w:rFonts w:ascii="ˎ̥" w:hAnsi="ˎ̥"/>
          <w:color w:val="000000"/>
          <w:sz w:val="23"/>
          <w:szCs w:val="23"/>
        </w:rPr>
        <w:t>2</w:t>
      </w:r>
      <w:r>
        <w:rPr>
          <w:rFonts w:ascii="ˎ̥" w:hAnsi="ˎ̥"/>
          <w:color w:val="000000"/>
          <w:sz w:val="23"/>
          <w:szCs w:val="23"/>
        </w:rPr>
        <w:t>、本方案中，模拟股票期权的授予以六年为一个周期，如果受益人在本方案的初始实施年度的以后各年度按本方案的规定，应该被授予期权的，其被授予期权的年限相应予以减少，授予模拟期权的总数亦相应按比例减少，被授予期限出现单数的，第一次行权时间为出现单数年度的第一次公司模拟股票期权的行权年度，行权的模拟期股份额为：授予总数除以授予年度。尚未行权的模拟期权按后续年度的行权时间统一行权。</w:t>
      </w:r>
    </w:p>
    <w:p w14:paraId="6D03B96E" w14:textId="77777777" w:rsidR="003B35AA" w:rsidRDefault="003B35AA">
      <w:pPr>
        <w:pStyle w:val="af3"/>
        <w:spacing w:line="435" w:lineRule="atLeast"/>
        <w:rPr>
          <w:rFonts w:ascii="ˎ̥" w:hAnsi="ˎ̥"/>
          <w:color w:val="000000"/>
          <w:sz w:val="23"/>
          <w:szCs w:val="23"/>
        </w:rPr>
      </w:pPr>
      <w:r>
        <w:rPr>
          <w:rFonts w:ascii="ˎ̥" w:hAnsi="ˎ̥"/>
          <w:color w:val="000000"/>
          <w:sz w:val="23"/>
          <w:szCs w:val="23"/>
        </w:rPr>
        <w:t>3</w:t>
      </w:r>
      <w:r>
        <w:rPr>
          <w:rFonts w:ascii="ˎ̥" w:hAnsi="ˎ̥"/>
          <w:color w:val="000000"/>
          <w:sz w:val="23"/>
          <w:szCs w:val="23"/>
        </w:rPr>
        <w:t>、授予期权的第一个年度的利润分配，如果授予时间不足一年的，所分配利润按当年被授予模拟期权的月度时间计算。</w:t>
      </w:r>
    </w:p>
    <w:p w14:paraId="42EDADB7" w14:textId="77777777" w:rsidR="003B35AA" w:rsidRDefault="003B35AA">
      <w:pPr>
        <w:pStyle w:val="af3"/>
        <w:spacing w:line="435" w:lineRule="atLeast"/>
        <w:rPr>
          <w:rFonts w:ascii="ˎ̥" w:hAnsi="ˎ̥"/>
          <w:b/>
          <w:color w:val="000000"/>
          <w:sz w:val="23"/>
          <w:szCs w:val="23"/>
        </w:rPr>
      </w:pPr>
      <w:r>
        <w:rPr>
          <w:rFonts w:ascii="ˎ̥" w:hAnsi="ˎ̥"/>
          <w:b/>
          <w:color w:val="000000"/>
          <w:sz w:val="23"/>
          <w:szCs w:val="23"/>
        </w:rPr>
        <w:t>第十二条</w:t>
      </w:r>
      <w:r>
        <w:rPr>
          <w:rFonts w:ascii="ˎ̥" w:hAnsi="ˎ̥"/>
          <w:b/>
          <w:color w:val="000000"/>
          <w:sz w:val="23"/>
          <w:szCs w:val="23"/>
        </w:rPr>
        <w:t xml:space="preserve">   </w:t>
      </w:r>
      <w:r>
        <w:rPr>
          <w:rFonts w:ascii="ˎ̥" w:hAnsi="ˎ̥"/>
          <w:b/>
          <w:color w:val="000000"/>
          <w:sz w:val="23"/>
          <w:szCs w:val="23"/>
        </w:rPr>
        <w:t>模拟股票期权的授予时机</w:t>
      </w:r>
    </w:p>
    <w:p w14:paraId="332E2FF4" w14:textId="77777777" w:rsidR="003B35AA" w:rsidRDefault="003B35AA">
      <w:pPr>
        <w:pStyle w:val="af3"/>
        <w:spacing w:line="435" w:lineRule="atLeast"/>
        <w:rPr>
          <w:rFonts w:ascii="ˎ̥" w:hAnsi="ˎ̥"/>
          <w:color w:val="000000"/>
          <w:sz w:val="23"/>
          <w:szCs w:val="23"/>
        </w:rPr>
      </w:pPr>
      <w:r>
        <w:rPr>
          <w:rFonts w:ascii="ˎ̥" w:hAnsi="ˎ̥"/>
          <w:color w:val="000000"/>
          <w:sz w:val="23"/>
          <w:szCs w:val="23"/>
        </w:rPr>
        <w:t>1</w:t>
      </w:r>
      <w:r>
        <w:rPr>
          <w:rFonts w:ascii="ˎ̥" w:hAnsi="ˎ̥"/>
          <w:color w:val="000000"/>
          <w:sz w:val="23"/>
          <w:szCs w:val="23"/>
        </w:rPr>
        <w:t>、受益人受聘、升迁的时间作为模拟股票期权的授予时间。受聘到应授予模拟期权岗位后，须经过试用期考核后方能被授予模拟股票期权，试用期延长的，须经延长后通过考核方能被授予模拟期权。由公司较低岗位升职到应授予模拟股票期权岗位的，也须在该岗位试用合格后方能被授予模拟股票期权，如果原较低岗位按本方案的规定，也授予模拟股票期权的，按新岗位应予授予的数量予以补足，补足数量为新岗位数量减去原岗位数量的差除以六，乘以本次期权方案实施的剩余年度。补足部分为实股和期股，比例按本方案中的相关规定执行，如果公司本次实施模拟期权的股份已经在此之前用完，则不予补足。可由董事会在下一个周期进行相应调整；</w:t>
      </w:r>
    </w:p>
    <w:p w14:paraId="0DF281C1" w14:textId="77777777" w:rsidR="003B35AA" w:rsidRDefault="003B35AA">
      <w:pPr>
        <w:pStyle w:val="af3"/>
        <w:spacing w:line="435" w:lineRule="atLeast"/>
        <w:rPr>
          <w:rFonts w:ascii="ˎ̥" w:hAnsi="ˎ̥"/>
          <w:color w:val="000000"/>
          <w:sz w:val="23"/>
          <w:szCs w:val="23"/>
        </w:rPr>
      </w:pPr>
      <w:r>
        <w:rPr>
          <w:rFonts w:ascii="ˎ̥" w:hAnsi="ˎ̥"/>
          <w:color w:val="000000"/>
          <w:sz w:val="23"/>
          <w:szCs w:val="23"/>
        </w:rPr>
        <w:t>2</w:t>
      </w:r>
      <w:r>
        <w:rPr>
          <w:rFonts w:ascii="ˎ̥" w:hAnsi="ˎ̥"/>
          <w:color w:val="000000"/>
          <w:sz w:val="23"/>
          <w:szCs w:val="23"/>
        </w:rPr>
        <w:t>、受益人在被授予模拟股票期权</w:t>
      </w:r>
    </w:p>
    <w:p w14:paraId="2B6881FC" w14:textId="77777777" w:rsidR="003B35AA" w:rsidRDefault="003B35AA">
      <w:pPr>
        <w:spacing w:line="435" w:lineRule="atLeast"/>
        <w:rPr>
          <w:rFonts w:ascii="ˎ̥" w:hAnsi="ˎ̥"/>
          <w:color w:val="000000"/>
          <w:sz w:val="23"/>
          <w:szCs w:val="23"/>
        </w:rPr>
      </w:pPr>
      <w:r>
        <w:rPr>
          <w:rFonts w:ascii="ˎ̥" w:hAnsi="ˎ̥"/>
          <w:color w:val="000000"/>
          <w:sz w:val="23"/>
          <w:szCs w:val="23"/>
        </w:rPr>
        <w:t>时，享有选择权，可以拒绝接受，在下一年度如果依然符合模拟期权的授予条件的，可以要求公司重新授予，但授予时间应减少一个年度，同时模拟期权的实股部分和期股部分相应减少六分之一。在两个年度内，如果享有资格的受益人拒绝接受模拟期权或者在拒绝后没有再次申请公司授予模拟期权的，视同永远放弃被授予模拟股票期权的资格。</w:t>
      </w:r>
      <w:r>
        <w:rPr>
          <w:rFonts w:ascii="ˎ̥" w:hAnsi="ˎ̥"/>
          <w:color w:val="000000"/>
          <w:sz w:val="23"/>
          <w:szCs w:val="23"/>
        </w:rPr>
        <w:t xml:space="preserve"> </w:t>
      </w:r>
    </w:p>
    <w:p w14:paraId="634F7537" w14:textId="77777777" w:rsidR="003B35AA" w:rsidRDefault="003B35AA">
      <w:pPr>
        <w:pStyle w:val="af3"/>
        <w:spacing w:line="435" w:lineRule="atLeast"/>
        <w:rPr>
          <w:rFonts w:ascii="ˎ̥" w:hAnsi="ˎ̥"/>
          <w:color w:val="000000"/>
          <w:sz w:val="23"/>
          <w:szCs w:val="23"/>
        </w:rPr>
      </w:pPr>
      <w:r>
        <w:rPr>
          <w:rFonts w:ascii="ˎ̥" w:hAnsi="ˎ̥"/>
          <w:color w:val="000000"/>
          <w:sz w:val="23"/>
          <w:szCs w:val="23"/>
        </w:rPr>
        <w:br/>
      </w:r>
      <w:r>
        <w:rPr>
          <w:rFonts w:ascii="ˎ̥" w:hAnsi="ˎ̥"/>
          <w:b/>
          <w:color w:val="000000"/>
          <w:sz w:val="23"/>
          <w:szCs w:val="23"/>
        </w:rPr>
        <w:t>第五章</w:t>
      </w:r>
      <w:r>
        <w:rPr>
          <w:rFonts w:ascii="ˎ̥" w:hAnsi="ˎ̥"/>
          <w:b/>
          <w:color w:val="000000"/>
          <w:sz w:val="23"/>
          <w:szCs w:val="23"/>
        </w:rPr>
        <w:t xml:space="preserve">     </w:t>
      </w:r>
      <w:r>
        <w:rPr>
          <w:rFonts w:ascii="ˎ̥" w:hAnsi="ˎ̥"/>
          <w:b/>
          <w:color w:val="000000"/>
          <w:sz w:val="23"/>
          <w:szCs w:val="23"/>
        </w:rPr>
        <w:t>模拟股票期权的行权价格及方式</w:t>
      </w:r>
    </w:p>
    <w:p w14:paraId="7A50A28F" w14:textId="77777777" w:rsidR="003B35AA" w:rsidRDefault="003B35AA">
      <w:pPr>
        <w:pStyle w:val="af3"/>
        <w:spacing w:line="435" w:lineRule="atLeast"/>
        <w:rPr>
          <w:rFonts w:ascii="ˎ̥" w:hAnsi="ˎ̥"/>
          <w:b/>
          <w:color w:val="000000"/>
          <w:sz w:val="23"/>
          <w:szCs w:val="23"/>
        </w:rPr>
      </w:pPr>
      <w:r>
        <w:rPr>
          <w:rFonts w:ascii="ˎ̥" w:hAnsi="ˎ̥"/>
          <w:b/>
          <w:color w:val="000000"/>
          <w:sz w:val="23"/>
          <w:szCs w:val="23"/>
        </w:rPr>
        <w:t>第十三条</w:t>
      </w:r>
      <w:r>
        <w:rPr>
          <w:rFonts w:ascii="ˎ̥" w:hAnsi="ˎ̥"/>
          <w:b/>
          <w:color w:val="000000"/>
          <w:sz w:val="23"/>
          <w:szCs w:val="23"/>
        </w:rPr>
        <w:t xml:space="preserve">     </w:t>
      </w:r>
      <w:r>
        <w:rPr>
          <w:rFonts w:ascii="ˎ̥" w:hAnsi="ˎ̥"/>
          <w:b/>
          <w:color w:val="000000"/>
          <w:sz w:val="23"/>
          <w:szCs w:val="23"/>
        </w:rPr>
        <w:t>模拟股票期权的行权价格</w:t>
      </w:r>
    </w:p>
    <w:p w14:paraId="02793127" w14:textId="77777777" w:rsidR="003B35AA" w:rsidRDefault="003B35AA">
      <w:pPr>
        <w:pStyle w:val="af3"/>
        <w:spacing w:line="435" w:lineRule="atLeast"/>
        <w:rPr>
          <w:rFonts w:ascii="ˎ̥" w:hAnsi="ˎ̥"/>
          <w:color w:val="000000"/>
          <w:sz w:val="23"/>
          <w:szCs w:val="23"/>
        </w:rPr>
      </w:pPr>
      <w:r>
        <w:rPr>
          <w:rFonts w:ascii="ˎ̥" w:hAnsi="ˎ̥"/>
          <w:color w:val="000000"/>
          <w:sz w:val="23"/>
          <w:szCs w:val="23"/>
        </w:rPr>
        <w:t>行权价格按受益人被授予模拟股票期权年度公司的相应比例的净资产价格计算，在受益人按本方案进行行权时，行权价格保持不变。</w:t>
      </w:r>
    </w:p>
    <w:p w14:paraId="7E5F598A" w14:textId="77777777" w:rsidR="003B35AA" w:rsidRDefault="003B35AA">
      <w:pPr>
        <w:pStyle w:val="af3"/>
        <w:spacing w:line="435" w:lineRule="atLeast"/>
        <w:rPr>
          <w:rFonts w:ascii="ˎ̥" w:hAnsi="ˎ̥"/>
          <w:b/>
          <w:color w:val="000000"/>
          <w:sz w:val="23"/>
          <w:szCs w:val="23"/>
        </w:rPr>
      </w:pPr>
      <w:r>
        <w:rPr>
          <w:rFonts w:ascii="ˎ̥" w:hAnsi="ˎ̥"/>
          <w:b/>
          <w:color w:val="000000"/>
          <w:sz w:val="23"/>
          <w:szCs w:val="23"/>
        </w:rPr>
        <w:t>第十四条</w:t>
      </w:r>
      <w:r>
        <w:rPr>
          <w:rFonts w:ascii="ˎ̥" w:hAnsi="ˎ̥"/>
          <w:b/>
          <w:color w:val="000000"/>
          <w:sz w:val="23"/>
          <w:szCs w:val="23"/>
        </w:rPr>
        <w:t xml:space="preserve">     </w:t>
      </w:r>
      <w:r>
        <w:rPr>
          <w:rFonts w:ascii="ˎ̥" w:hAnsi="ˎ̥"/>
          <w:b/>
          <w:color w:val="000000"/>
          <w:sz w:val="23"/>
          <w:szCs w:val="23"/>
        </w:rPr>
        <w:t>模拟期权的行权方式</w:t>
      </w:r>
    </w:p>
    <w:p w14:paraId="2AFB0211" w14:textId="77777777" w:rsidR="003B35AA" w:rsidRDefault="003B35AA">
      <w:pPr>
        <w:pStyle w:val="af3"/>
        <w:spacing w:line="435" w:lineRule="atLeast"/>
        <w:rPr>
          <w:rFonts w:ascii="ˎ̥" w:hAnsi="ˎ̥"/>
          <w:color w:val="000000"/>
          <w:sz w:val="23"/>
          <w:szCs w:val="23"/>
        </w:rPr>
      </w:pPr>
      <w:r>
        <w:rPr>
          <w:rFonts w:ascii="ˎ̥" w:hAnsi="ˎ̥"/>
          <w:color w:val="000000"/>
          <w:sz w:val="23"/>
          <w:szCs w:val="23"/>
        </w:rPr>
        <w:t>1</w:t>
      </w:r>
      <w:r>
        <w:rPr>
          <w:rFonts w:ascii="ˎ̥" w:hAnsi="ˎ̥"/>
          <w:color w:val="000000"/>
          <w:sz w:val="23"/>
          <w:szCs w:val="23"/>
        </w:rPr>
        <w:t>、本方案中，行权采用匀速行权的方式。受益人在被授予模拟股票期权后，享有该模拟期权的利润分配权，在每两年一次的行权期，受益人用所分得的利润进行行权，但受益人所分得的利润不直接分配给受益人，而是转给提供模拟期权来源的原公司发起人股东，模拟期股转变为实股，公司进行相应的工商登记变更。由于每两年一次的利润分配期实际时间为相应的下一年度，因而实际的行权操作时间每两个利润分配的下一年度。办理工商变更登记的时间为该年度的四月至五月份，具体时间由董事会确定。在进行工商登记变更前，模拟期权持有人不享有除利润分配权外的其他权利。</w:t>
      </w:r>
    </w:p>
    <w:p w14:paraId="7A8B0530" w14:textId="77777777" w:rsidR="003B35AA" w:rsidRDefault="003B35AA">
      <w:pPr>
        <w:pStyle w:val="af3"/>
        <w:spacing w:line="435" w:lineRule="atLeast"/>
        <w:rPr>
          <w:rFonts w:ascii="ˎ̥" w:hAnsi="ˎ̥"/>
          <w:color w:val="000000"/>
          <w:sz w:val="23"/>
          <w:szCs w:val="23"/>
        </w:rPr>
      </w:pPr>
      <w:r>
        <w:rPr>
          <w:rFonts w:ascii="ˎ̥" w:hAnsi="ˎ̥"/>
          <w:color w:val="000000"/>
          <w:sz w:val="23"/>
          <w:szCs w:val="23"/>
        </w:rPr>
        <w:t>2</w:t>
      </w:r>
      <w:r>
        <w:rPr>
          <w:rFonts w:ascii="ˎ̥" w:hAnsi="ˎ̥"/>
          <w:color w:val="000000"/>
          <w:sz w:val="23"/>
          <w:szCs w:val="23"/>
        </w:rPr>
        <w:t>、在第一次行权时，受益人所持有的在被授予模拟股票期权时所认购的实股的利润和期股利润一同计算，进行工商变更登记的时间和因模拟期股第一次行权工商登记变更时间一致。以后的两次行权利润分配参照本条执行。</w:t>
      </w:r>
    </w:p>
    <w:p w14:paraId="4252F96C" w14:textId="77777777" w:rsidR="003B35AA" w:rsidRDefault="003B35AA">
      <w:pPr>
        <w:pStyle w:val="af3"/>
        <w:spacing w:line="435" w:lineRule="atLeast"/>
        <w:rPr>
          <w:rFonts w:ascii="ˎ̥" w:hAnsi="ˎ̥"/>
          <w:color w:val="000000"/>
          <w:sz w:val="23"/>
          <w:szCs w:val="23"/>
        </w:rPr>
      </w:pPr>
      <w:r>
        <w:rPr>
          <w:rFonts w:ascii="ˎ̥" w:hAnsi="ˎ̥"/>
          <w:color w:val="000000"/>
          <w:sz w:val="23"/>
          <w:szCs w:val="23"/>
        </w:rPr>
        <w:t>3</w:t>
      </w:r>
      <w:r>
        <w:rPr>
          <w:rFonts w:ascii="ˎ̥" w:hAnsi="ˎ̥"/>
          <w:color w:val="000000"/>
          <w:sz w:val="23"/>
          <w:szCs w:val="23"/>
        </w:rPr>
        <w:t>、受益人的两年的利润分配收益如果大于当年的行权价款，大于的部分不以现金的方式向受益人变现，而暂存于公司用于受益人的下一次行权价款，六年期满后，受益人在行权后出现利润所得有剩余的，公司将以现金的形式支付给受益人；</w:t>
      </w:r>
    </w:p>
    <w:p w14:paraId="04378F29" w14:textId="77777777" w:rsidR="003B35AA" w:rsidRDefault="003B35AA">
      <w:pPr>
        <w:pStyle w:val="af3"/>
        <w:spacing w:line="435" w:lineRule="atLeast"/>
        <w:rPr>
          <w:rFonts w:ascii="ˎ̥" w:hAnsi="ˎ̥"/>
          <w:color w:val="000000"/>
          <w:sz w:val="23"/>
          <w:szCs w:val="23"/>
        </w:rPr>
      </w:pPr>
      <w:r>
        <w:rPr>
          <w:rFonts w:ascii="ˎ̥" w:hAnsi="ˎ̥"/>
          <w:color w:val="000000"/>
          <w:sz w:val="23"/>
          <w:szCs w:val="23"/>
        </w:rPr>
        <w:t>4</w:t>
      </w:r>
      <w:r>
        <w:rPr>
          <w:rFonts w:ascii="ˎ̥" w:hAnsi="ˎ̥"/>
          <w:color w:val="000000"/>
          <w:sz w:val="23"/>
          <w:szCs w:val="23"/>
        </w:rPr>
        <w:t>、受益人按本方案的约定所取得的利润分配所得，如果不足以支付当次受益人所应交纳的行权价款，受益人应采用补交现金的方式来进行行权，否则视同完全放弃行权，应行权部分模拟期权股份无偿转归原股东所有，由董事会作为模拟期权的股份来源部分进行管理。但对本次行权的放弃并不影响其他尚未行权部分的期权，对该部分期权，期权持有人仍可以按本方案的规定进行行权；</w:t>
      </w:r>
    </w:p>
    <w:p w14:paraId="627BD316" w14:textId="77777777" w:rsidR="003B35AA" w:rsidRDefault="003B35AA">
      <w:pPr>
        <w:pStyle w:val="af3"/>
        <w:spacing w:line="435" w:lineRule="atLeast"/>
        <w:rPr>
          <w:rFonts w:ascii="ˎ̥" w:hAnsi="ˎ̥"/>
          <w:color w:val="000000"/>
          <w:sz w:val="23"/>
          <w:szCs w:val="23"/>
        </w:rPr>
      </w:pPr>
      <w:r>
        <w:rPr>
          <w:rFonts w:ascii="ˎ̥" w:hAnsi="ˎ̥"/>
          <w:color w:val="000000"/>
          <w:sz w:val="23"/>
          <w:szCs w:val="23"/>
        </w:rPr>
        <w:t>5</w:t>
      </w:r>
      <w:r>
        <w:rPr>
          <w:rFonts w:ascii="ˎ̥" w:hAnsi="ˎ̥"/>
          <w:color w:val="000000"/>
          <w:sz w:val="23"/>
          <w:szCs w:val="23"/>
        </w:rPr>
        <w:t>、受益人按本方案的约定进行的利润分配所得，应缴纳的所得税由受益人自行承担。转让人所取得的股权转让收入应当缴纳所得税的，亦由转让人自行承担；</w:t>
      </w:r>
    </w:p>
    <w:p w14:paraId="435DDFDD" w14:textId="77777777" w:rsidR="003B35AA" w:rsidRDefault="003B35AA">
      <w:pPr>
        <w:pStyle w:val="af3"/>
        <w:spacing w:line="435" w:lineRule="atLeast"/>
        <w:rPr>
          <w:rFonts w:ascii="ˎ̥" w:hAnsi="ˎ̥"/>
          <w:color w:val="000000"/>
          <w:sz w:val="23"/>
          <w:szCs w:val="23"/>
        </w:rPr>
      </w:pPr>
      <w:r>
        <w:rPr>
          <w:rFonts w:ascii="ˎ̥" w:hAnsi="ˎ̥"/>
          <w:color w:val="000000"/>
          <w:sz w:val="23"/>
          <w:szCs w:val="23"/>
        </w:rPr>
        <w:t>6</w:t>
      </w:r>
      <w:r>
        <w:rPr>
          <w:rFonts w:ascii="ˎ̥" w:hAnsi="ˎ̥"/>
          <w:color w:val="000000"/>
          <w:sz w:val="23"/>
          <w:szCs w:val="23"/>
        </w:rPr>
        <w:t>、本方案实施模拟股票期权的目的在于对公司高级管理人员和核心技术人员进行长期激励，但如果在开始按本方案实施模拟股票期权的前两个年度内的任意年度，受益人按本方案所分得的利润可以对所配给的所有模拟期股进行行权的，可以加速行权。两个年度后的利润分配如果出现足以对尚未行权部分的模拟期股进行行权的，不予加速行权。</w:t>
      </w:r>
    </w:p>
    <w:p w14:paraId="0361F835" w14:textId="77777777" w:rsidR="003B35AA" w:rsidRDefault="003B35AA">
      <w:pPr>
        <w:pStyle w:val="af3"/>
        <w:spacing w:line="435" w:lineRule="atLeast"/>
        <w:rPr>
          <w:rFonts w:ascii="ˎ̥" w:hAnsi="ˎ̥"/>
          <w:color w:val="000000"/>
          <w:sz w:val="23"/>
          <w:szCs w:val="23"/>
        </w:rPr>
      </w:pPr>
      <w:r>
        <w:rPr>
          <w:rFonts w:ascii="ˎ̥" w:hAnsi="ˎ̥"/>
          <w:color w:val="000000"/>
          <w:sz w:val="23"/>
          <w:szCs w:val="23"/>
        </w:rPr>
        <w:t>7</w:t>
      </w:r>
      <w:r>
        <w:rPr>
          <w:rFonts w:ascii="ˎ̥" w:hAnsi="ˎ̥"/>
          <w:color w:val="000000"/>
          <w:sz w:val="23"/>
          <w:szCs w:val="23"/>
        </w:rPr>
        <w:t>、公司应保证按国家相关法律法规的要求进行利润分配，除按会计法等相关法律的规定缴纳各项税金、提取法定基金、费用后，不得另行多提基金、费用。</w:t>
      </w:r>
    </w:p>
    <w:p w14:paraId="607BB157" w14:textId="77777777" w:rsidR="003B35AA" w:rsidRDefault="003B35AA">
      <w:pPr>
        <w:pStyle w:val="af3"/>
        <w:spacing w:line="435" w:lineRule="atLeast"/>
        <w:rPr>
          <w:rFonts w:ascii="ˎ̥" w:hAnsi="ˎ̥"/>
          <w:b/>
          <w:color w:val="000000"/>
          <w:sz w:val="23"/>
          <w:szCs w:val="23"/>
        </w:rPr>
      </w:pPr>
      <w:r>
        <w:rPr>
          <w:rFonts w:ascii="ˎ̥" w:hAnsi="ˎ̥"/>
          <w:b/>
          <w:color w:val="000000"/>
          <w:sz w:val="23"/>
          <w:szCs w:val="23"/>
        </w:rPr>
        <w:t>第十五条</w:t>
      </w:r>
      <w:r>
        <w:rPr>
          <w:rFonts w:ascii="ˎ̥" w:hAnsi="ˎ̥"/>
          <w:b/>
          <w:color w:val="000000"/>
          <w:sz w:val="23"/>
          <w:szCs w:val="23"/>
        </w:rPr>
        <w:t xml:space="preserve">       </w:t>
      </w:r>
      <w:r>
        <w:rPr>
          <w:rFonts w:ascii="ˎ̥" w:hAnsi="ˎ̥"/>
          <w:b/>
          <w:color w:val="000000"/>
          <w:sz w:val="23"/>
          <w:szCs w:val="23"/>
        </w:rPr>
        <w:t>关于行权的特别规定</w:t>
      </w:r>
    </w:p>
    <w:p w14:paraId="044F3744" w14:textId="77777777" w:rsidR="003B35AA" w:rsidRDefault="003B35AA">
      <w:pPr>
        <w:pStyle w:val="af3"/>
        <w:spacing w:line="435" w:lineRule="atLeast"/>
        <w:rPr>
          <w:rFonts w:ascii="ˎ̥" w:hAnsi="ˎ̥"/>
          <w:color w:val="000000"/>
          <w:sz w:val="23"/>
          <w:szCs w:val="23"/>
        </w:rPr>
      </w:pPr>
      <w:r>
        <w:rPr>
          <w:rFonts w:ascii="ˎ̥" w:hAnsi="ˎ̥"/>
          <w:color w:val="000000"/>
          <w:sz w:val="23"/>
          <w:szCs w:val="23"/>
        </w:rPr>
        <w:t>1</w:t>
      </w:r>
      <w:r>
        <w:rPr>
          <w:rFonts w:ascii="ˎ̥" w:hAnsi="ˎ̥"/>
          <w:color w:val="000000"/>
          <w:sz w:val="23"/>
          <w:szCs w:val="23"/>
        </w:rPr>
        <w:t>、如果在实施模拟股票期权方案后，公司的母公司成功上市，受益人对持有的尚未行权部分的期股的行权有两种选择。一是按本方案第十四条的规定行权；二是可以要求公司支付相应期权折算为母公司市场价格与受益人被授予模拟期权股票时公司净资产的百分之一百五十的行权价格的差额，以上市公司</w:t>
      </w:r>
      <w:r>
        <w:rPr>
          <w:rFonts w:ascii="ˎ̥" w:hAnsi="ˎ̥"/>
          <w:color w:val="000000"/>
          <w:sz w:val="23"/>
          <w:szCs w:val="23"/>
        </w:rPr>
        <w:t>5</w:t>
      </w:r>
      <w:r>
        <w:rPr>
          <w:rFonts w:ascii="ˎ̥" w:hAnsi="ˎ̥"/>
          <w:color w:val="000000"/>
          <w:sz w:val="23"/>
          <w:szCs w:val="23"/>
        </w:rPr>
        <w:t>月</w:t>
      </w:r>
      <w:r>
        <w:rPr>
          <w:rFonts w:ascii="ˎ̥" w:hAnsi="ˎ̥"/>
          <w:color w:val="000000"/>
          <w:sz w:val="23"/>
          <w:szCs w:val="23"/>
        </w:rPr>
        <w:t>10</w:t>
      </w:r>
      <w:r>
        <w:rPr>
          <w:rFonts w:ascii="ˎ̥" w:hAnsi="ˎ̥"/>
          <w:color w:val="000000"/>
          <w:sz w:val="23"/>
          <w:szCs w:val="23"/>
        </w:rPr>
        <w:t>日的市场价格确定。</w:t>
      </w:r>
    </w:p>
    <w:p w14:paraId="6E07EB51" w14:textId="77777777" w:rsidR="003B35AA" w:rsidRDefault="003B35AA">
      <w:pPr>
        <w:pStyle w:val="af3"/>
        <w:spacing w:line="435" w:lineRule="atLeast"/>
        <w:rPr>
          <w:rFonts w:ascii="ˎ̥" w:hAnsi="ˎ̥"/>
          <w:color w:val="000000"/>
          <w:sz w:val="23"/>
          <w:szCs w:val="23"/>
        </w:rPr>
      </w:pPr>
      <w:r>
        <w:rPr>
          <w:rFonts w:ascii="ˎ̥" w:hAnsi="ˎ̥"/>
          <w:color w:val="000000"/>
          <w:sz w:val="23"/>
          <w:szCs w:val="23"/>
        </w:rPr>
        <w:t>2</w:t>
      </w:r>
      <w:r>
        <w:rPr>
          <w:rFonts w:ascii="ˎ̥" w:hAnsi="ˎ̥"/>
          <w:color w:val="000000"/>
          <w:sz w:val="23"/>
          <w:szCs w:val="23"/>
        </w:rPr>
        <w:t>、受益人选择权应当在被授予模拟期权时确定。出现本条第一款第二种行权方式时，受益人的的期股实际为名义额度，受益人被授予的期股不发生权利转让。</w:t>
      </w:r>
    </w:p>
    <w:p w14:paraId="40DB646F" w14:textId="77777777" w:rsidR="003B35AA" w:rsidRDefault="003B35AA">
      <w:pPr>
        <w:pStyle w:val="af3"/>
        <w:spacing w:line="435" w:lineRule="atLeast"/>
        <w:rPr>
          <w:rFonts w:ascii="ˎ̥" w:hAnsi="ˎ̥"/>
          <w:b/>
          <w:color w:val="000000"/>
          <w:sz w:val="23"/>
          <w:szCs w:val="23"/>
        </w:rPr>
      </w:pPr>
      <w:r>
        <w:rPr>
          <w:rFonts w:ascii="ˎ̥" w:hAnsi="ˎ̥"/>
          <w:b/>
          <w:color w:val="000000"/>
          <w:sz w:val="23"/>
          <w:szCs w:val="23"/>
        </w:rPr>
        <w:t>第六章</w:t>
      </w:r>
      <w:r>
        <w:rPr>
          <w:rFonts w:ascii="ˎ̥" w:hAnsi="ˎ̥"/>
          <w:b/>
          <w:color w:val="000000"/>
          <w:sz w:val="23"/>
          <w:szCs w:val="23"/>
        </w:rPr>
        <w:t xml:space="preserve">     </w:t>
      </w:r>
      <w:r>
        <w:rPr>
          <w:rFonts w:ascii="ˎ̥" w:hAnsi="ˎ̥"/>
          <w:b/>
          <w:color w:val="000000"/>
          <w:sz w:val="23"/>
          <w:szCs w:val="23"/>
        </w:rPr>
        <w:t>员工解约、辞职、离职时的模拟期权处理</w:t>
      </w:r>
    </w:p>
    <w:p w14:paraId="3BA8C047" w14:textId="77777777" w:rsidR="003B35AA" w:rsidRDefault="003B35AA">
      <w:pPr>
        <w:pStyle w:val="af3"/>
        <w:spacing w:line="435" w:lineRule="atLeast"/>
        <w:rPr>
          <w:rFonts w:ascii="ˎ̥" w:hAnsi="ˎ̥"/>
          <w:b/>
          <w:color w:val="000000"/>
          <w:sz w:val="23"/>
          <w:szCs w:val="23"/>
        </w:rPr>
      </w:pPr>
      <w:r>
        <w:rPr>
          <w:rFonts w:ascii="ˎ̥" w:hAnsi="ˎ̥"/>
          <w:b/>
          <w:color w:val="000000"/>
          <w:sz w:val="23"/>
          <w:szCs w:val="23"/>
        </w:rPr>
        <w:t>第十六条</w:t>
      </w:r>
      <w:r>
        <w:rPr>
          <w:rFonts w:ascii="ˎ̥" w:hAnsi="ˎ̥"/>
          <w:b/>
          <w:color w:val="000000"/>
          <w:sz w:val="23"/>
          <w:szCs w:val="23"/>
        </w:rPr>
        <w:t xml:space="preserve">     </w:t>
      </w:r>
      <w:r>
        <w:rPr>
          <w:rFonts w:ascii="ˎ̥" w:hAnsi="ˎ̥"/>
          <w:b/>
          <w:color w:val="000000"/>
          <w:sz w:val="23"/>
          <w:szCs w:val="23"/>
        </w:rPr>
        <w:t>董事会认定的有特殊贡献者，在提前离职后可以继续享有模拟股票期权，但公司有足够证据证明模拟股票期权的持有人在离职后、模拟期权尚未行权前，由于其行为给公司造成损失的，或虽未给公司造成损失，但加入与公司有竞争性的公司的，公司有权中止直至取消其模拟期权；</w:t>
      </w:r>
    </w:p>
    <w:p w14:paraId="53E54859" w14:textId="77777777" w:rsidR="003B35AA" w:rsidRDefault="003B35AA">
      <w:pPr>
        <w:pStyle w:val="af3"/>
        <w:spacing w:line="435" w:lineRule="atLeast"/>
        <w:rPr>
          <w:rFonts w:ascii="ˎ̥" w:hAnsi="ˎ̥"/>
          <w:b/>
          <w:color w:val="000000"/>
          <w:sz w:val="23"/>
          <w:szCs w:val="23"/>
        </w:rPr>
      </w:pPr>
      <w:r>
        <w:rPr>
          <w:rFonts w:ascii="ˎ̥" w:hAnsi="ˎ̥"/>
          <w:b/>
          <w:color w:val="000000"/>
          <w:sz w:val="23"/>
          <w:szCs w:val="23"/>
        </w:rPr>
        <w:t>第十七条</w:t>
      </w:r>
      <w:r>
        <w:rPr>
          <w:rFonts w:ascii="ˎ̥" w:hAnsi="ˎ̥"/>
          <w:b/>
          <w:color w:val="000000"/>
          <w:sz w:val="23"/>
          <w:szCs w:val="23"/>
        </w:rPr>
        <w:t xml:space="preserve">     </w:t>
      </w:r>
      <w:r>
        <w:rPr>
          <w:rFonts w:ascii="ˎ̥" w:hAnsi="ˎ̥"/>
          <w:b/>
          <w:color w:val="000000"/>
          <w:sz w:val="23"/>
          <w:szCs w:val="23"/>
        </w:rPr>
        <w:t>未履行与公司签定的聘用合同的约定而自动离职的，终止尚未行权的模拟股票期权；</w:t>
      </w:r>
    </w:p>
    <w:p w14:paraId="1E154F08" w14:textId="77777777" w:rsidR="003B35AA" w:rsidRDefault="003B35AA">
      <w:pPr>
        <w:pStyle w:val="af3"/>
        <w:spacing w:line="435" w:lineRule="atLeast"/>
        <w:rPr>
          <w:rFonts w:ascii="ˎ̥" w:hAnsi="ˎ̥"/>
          <w:b/>
          <w:color w:val="000000"/>
          <w:sz w:val="23"/>
          <w:szCs w:val="23"/>
        </w:rPr>
      </w:pPr>
      <w:r>
        <w:rPr>
          <w:rFonts w:ascii="ˎ̥" w:hAnsi="ˎ̥"/>
          <w:b/>
          <w:color w:val="000000"/>
          <w:sz w:val="23"/>
          <w:szCs w:val="23"/>
        </w:rPr>
        <w:t>第十八条</w:t>
      </w:r>
      <w:r>
        <w:rPr>
          <w:rFonts w:ascii="ˎ̥" w:hAnsi="ˎ̥"/>
          <w:b/>
          <w:color w:val="000000"/>
          <w:sz w:val="23"/>
          <w:szCs w:val="23"/>
        </w:rPr>
        <w:t xml:space="preserve">     </w:t>
      </w:r>
      <w:r>
        <w:rPr>
          <w:rFonts w:ascii="ˎ̥" w:hAnsi="ˎ̥"/>
          <w:b/>
          <w:color w:val="000000"/>
          <w:sz w:val="23"/>
          <w:szCs w:val="23"/>
        </w:rPr>
        <w:t>因公司生产经营之需要，公司提前与聘用人员解除合同的，对模拟期权持有人尚未行权部分终止行权；</w:t>
      </w:r>
    </w:p>
    <w:p w14:paraId="3285B16F" w14:textId="77777777" w:rsidR="003B35AA" w:rsidRDefault="003B35AA">
      <w:pPr>
        <w:pStyle w:val="af3"/>
        <w:spacing w:line="435" w:lineRule="atLeast"/>
        <w:rPr>
          <w:rFonts w:ascii="ˎ̥" w:hAnsi="ˎ̥"/>
          <w:b/>
          <w:color w:val="000000"/>
          <w:sz w:val="23"/>
          <w:szCs w:val="23"/>
        </w:rPr>
      </w:pPr>
      <w:r>
        <w:rPr>
          <w:rFonts w:ascii="ˎ̥" w:hAnsi="ˎ̥"/>
          <w:b/>
          <w:color w:val="000000"/>
          <w:sz w:val="23"/>
          <w:szCs w:val="23"/>
        </w:rPr>
        <w:t>第十九条</w:t>
      </w:r>
      <w:r>
        <w:rPr>
          <w:rFonts w:ascii="ˎ̥" w:hAnsi="ˎ̥"/>
          <w:b/>
          <w:color w:val="000000"/>
          <w:sz w:val="23"/>
          <w:szCs w:val="23"/>
        </w:rPr>
        <w:t xml:space="preserve">     </w:t>
      </w:r>
      <w:r>
        <w:rPr>
          <w:rFonts w:ascii="ˎ̥" w:hAnsi="ˎ̥"/>
          <w:b/>
          <w:color w:val="000000"/>
          <w:sz w:val="23"/>
          <w:szCs w:val="23"/>
        </w:rPr>
        <w:t>聘用期满，模拟期权尚未行权部分可以继续行权；</w:t>
      </w:r>
    </w:p>
    <w:p w14:paraId="4DF4CCC2" w14:textId="77777777" w:rsidR="003B35AA" w:rsidRDefault="003B35AA">
      <w:pPr>
        <w:pStyle w:val="af3"/>
        <w:spacing w:line="435" w:lineRule="atLeast"/>
        <w:rPr>
          <w:rFonts w:ascii="ˎ̥" w:hAnsi="ˎ̥"/>
          <w:b/>
          <w:color w:val="000000"/>
          <w:sz w:val="23"/>
          <w:szCs w:val="23"/>
        </w:rPr>
      </w:pPr>
      <w:r>
        <w:rPr>
          <w:rFonts w:ascii="ˎ̥" w:hAnsi="ˎ̥"/>
          <w:b/>
          <w:color w:val="000000"/>
          <w:sz w:val="23"/>
          <w:szCs w:val="23"/>
        </w:rPr>
        <w:t>第二十条</w:t>
      </w:r>
      <w:r>
        <w:rPr>
          <w:rFonts w:ascii="ˎ̥" w:hAnsi="ˎ̥"/>
          <w:b/>
          <w:color w:val="000000"/>
          <w:sz w:val="23"/>
          <w:szCs w:val="23"/>
        </w:rPr>
        <w:t xml:space="preserve">     </w:t>
      </w:r>
      <w:r>
        <w:rPr>
          <w:rFonts w:ascii="ˎ̥" w:hAnsi="ˎ̥"/>
          <w:b/>
          <w:color w:val="000000"/>
          <w:sz w:val="23"/>
          <w:szCs w:val="23"/>
        </w:rPr>
        <w:t>因严重失职等非正常原因而终止聘用关系，对尚未行权部分终止行权；</w:t>
      </w:r>
    </w:p>
    <w:p w14:paraId="43601BB9" w14:textId="77777777" w:rsidR="003B35AA" w:rsidRDefault="003B35AA">
      <w:pPr>
        <w:pStyle w:val="af3"/>
        <w:spacing w:line="435" w:lineRule="atLeast"/>
        <w:rPr>
          <w:rFonts w:ascii="ˎ̥" w:hAnsi="ˎ̥"/>
          <w:b/>
          <w:color w:val="000000"/>
          <w:sz w:val="23"/>
          <w:szCs w:val="23"/>
        </w:rPr>
      </w:pPr>
      <w:r>
        <w:rPr>
          <w:rFonts w:ascii="ˎ̥" w:hAnsi="ˎ̥"/>
          <w:b/>
          <w:color w:val="000000"/>
          <w:sz w:val="23"/>
          <w:szCs w:val="23"/>
        </w:rPr>
        <w:t>第二十一条</w:t>
      </w:r>
      <w:r>
        <w:rPr>
          <w:rFonts w:ascii="ˎ̥" w:hAnsi="ˎ̥"/>
          <w:b/>
          <w:color w:val="000000"/>
          <w:sz w:val="23"/>
          <w:szCs w:val="23"/>
        </w:rPr>
        <w:t xml:space="preserve">     </w:t>
      </w:r>
      <w:r>
        <w:rPr>
          <w:rFonts w:ascii="ˎ̥" w:hAnsi="ˎ̥"/>
          <w:b/>
          <w:color w:val="000000"/>
          <w:sz w:val="23"/>
          <w:szCs w:val="23"/>
        </w:rPr>
        <w:t>因违法犯罪被追究刑事责任的，对尚未行权部分终止行权，对已行权部分及在授予模拟期权时认购的实股部分应向原提供模拟期权的股东进行转让，但只就原认购部分返还对价，授予的期权部分不予支付对价；</w:t>
      </w:r>
    </w:p>
    <w:p w14:paraId="59145B9A" w14:textId="77777777" w:rsidR="003B35AA" w:rsidRDefault="003B35AA">
      <w:pPr>
        <w:pStyle w:val="af3"/>
        <w:spacing w:line="435" w:lineRule="atLeast"/>
        <w:rPr>
          <w:rFonts w:ascii="ˎ̥" w:hAnsi="ˎ̥"/>
          <w:b/>
          <w:color w:val="000000"/>
          <w:sz w:val="23"/>
          <w:szCs w:val="23"/>
        </w:rPr>
      </w:pPr>
      <w:r>
        <w:rPr>
          <w:rFonts w:ascii="ˎ̥" w:hAnsi="ˎ̥"/>
          <w:b/>
          <w:color w:val="000000"/>
          <w:sz w:val="23"/>
          <w:szCs w:val="23"/>
        </w:rPr>
        <w:t>第二十二条</w:t>
      </w:r>
      <w:r>
        <w:rPr>
          <w:rFonts w:ascii="ˎ̥" w:hAnsi="ˎ̥"/>
          <w:b/>
          <w:color w:val="000000"/>
          <w:sz w:val="23"/>
          <w:szCs w:val="23"/>
        </w:rPr>
        <w:t xml:space="preserve">     </w:t>
      </w:r>
      <w:r>
        <w:rPr>
          <w:rFonts w:ascii="ˎ̥" w:hAnsi="ˎ̥"/>
          <w:b/>
          <w:color w:val="000000"/>
          <w:sz w:val="23"/>
          <w:szCs w:val="23"/>
        </w:rPr>
        <w:t>因公司发生并购及其他公司的实际控制权、资本结构发生重大变化，原有提供模拟期权股份部分的股东应当保证对该部分股份不予转让，保证持有人的稳定性，或者能够保证新的股东对公司模拟期权方案执行的连续性；</w:t>
      </w:r>
    </w:p>
    <w:p w14:paraId="7D0B0326" w14:textId="77777777" w:rsidR="003B35AA" w:rsidRDefault="003B35AA">
      <w:pPr>
        <w:pStyle w:val="af3"/>
        <w:spacing w:line="435" w:lineRule="atLeast"/>
        <w:rPr>
          <w:rFonts w:ascii="ˎ̥" w:hAnsi="ˎ̥"/>
          <w:b/>
          <w:color w:val="000000"/>
          <w:sz w:val="23"/>
          <w:szCs w:val="23"/>
        </w:rPr>
      </w:pPr>
      <w:r>
        <w:rPr>
          <w:rFonts w:ascii="ˎ̥" w:hAnsi="ˎ̥"/>
          <w:b/>
          <w:color w:val="000000"/>
          <w:sz w:val="23"/>
          <w:szCs w:val="23"/>
        </w:rPr>
        <w:t>第七章</w:t>
      </w:r>
      <w:r>
        <w:rPr>
          <w:rFonts w:ascii="ˎ̥" w:hAnsi="ˎ̥"/>
          <w:b/>
          <w:color w:val="000000"/>
          <w:sz w:val="23"/>
          <w:szCs w:val="23"/>
        </w:rPr>
        <w:t xml:space="preserve">     </w:t>
      </w:r>
      <w:r>
        <w:rPr>
          <w:rFonts w:ascii="ˎ̥" w:hAnsi="ˎ̥"/>
          <w:b/>
          <w:color w:val="000000"/>
          <w:sz w:val="23"/>
          <w:szCs w:val="23"/>
        </w:rPr>
        <w:t>内部交易平台的建立及内部交易规则</w:t>
      </w:r>
    </w:p>
    <w:p w14:paraId="2A84D1B3" w14:textId="77777777" w:rsidR="003B35AA" w:rsidRDefault="003B35AA">
      <w:pPr>
        <w:pStyle w:val="af3"/>
        <w:spacing w:line="435" w:lineRule="atLeast"/>
        <w:rPr>
          <w:rFonts w:ascii="ˎ̥" w:hAnsi="ˎ̥"/>
          <w:b/>
          <w:color w:val="000000"/>
          <w:sz w:val="23"/>
          <w:szCs w:val="23"/>
        </w:rPr>
      </w:pPr>
      <w:r>
        <w:rPr>
          <w:rFonts w:ascii="ˎ̥" w:hAnsi="ˎ̥"/>
          <w:b/>
          <w:color w:val="000000"/>
          <w:sz w:val="23"/>
          <w:szCs w:val="23"/>
        </w:rPr>
        <w:t>第二十三条</w:t>
      </w:r>
      <w:r>
        <w:rPr>
          <w:rFonts w:ascii="ˎ̥" w:hAnsi="ˎ̥"/>
          <w:b/>
          <w:color w:val="000000"/>
          <w:sz w:val="23"/>
          <w:szCs w:val="23"/>
        </w:rPr>
        <w:t xml:space="preserve">     </w:t>
      </w:r>
      <w:r>
        <w:rPr>
          <w:rFonts w:ascii="ˎ̥" w:hAnsi="ˎ̥"/>
          <w:b/>
          <w:color w:val="000000"/>
          <w:sz w:val="23"/>
          <w:szCs w:val="23"/>
        </w:rPr>
        <w:t>内部交易平台</w:t>
      </w:r>
    </w:p>
    <w:p w14:paraId="446D9479" w14:textId="77777777" w:rsidR="003B35AA" w:rsidRDefault="003B35AA">
      <w:pPr>
        <w:pStyle w:val="af3"/>
        <w:spacing w:line="435" w:lineRule="atLeast"/>
        <w:rPr>
          <w:rFonts w:ascii="ˎ̥" w:hAnsi="ˎ̥"/>
          <w:color w:val="000000"/>
          <w:sz w:val="23"/>
          <w:szCs w:val="23"/>
        </w:rPr>
      </w:pPr>
      <w:r>
        <w:rPr>
          <w:rFonts w:ascii="ˎ̥" w:hAnsi="ˎ̥"/>
          <w:color w:val="000000"/>
          <w:sz w:val="23"/>
          <w:szCs w:val="23"/>
        </w:rPr>
        <w:t>1</w:t>
      </w:r>
      <w:r>
        <w:rPr>
          <w:rFonts w:ascii="ˎ̥" w:hAnsi="ˎ̥"/>
          <w:color w:val="000000"/>
          <w:sz w:val="23"/>
          <w:szCs w:val="23"/>
        </w:rPr>
        <w:t>、在公司</w:t>
      </w:r>
      <w:hyperlink r:id="rId6" w:history="1">
        <w:r>
          <w:rPr>
            <w:rStyle w:val="a3"/>
            <w:rFonts w:ascii="ˎ̥" w:hAnsi="ˎ̥"/>
            <w:sz w:val="23"/>
            <w:szCs w:val="23"/>
          </w:rPr>
          <w:t>财务</w:t>
        </w:r>
      </w:hyperlink>
      <w:r>
        <w:rPr>
          <w:rFonts w:ascii="ˎ̥" w:hAnsi="ˎ̥"/>
          <w:color w:val="000000"/>
          <w:sz w:val="23"/>
          <w:szCs w:val="23"/>
        </w:rPr>
        <w:t>部门设立交易中心，受益人可以在该交易中心进行模拟期权期股的交易，办理交易过户手续，交易中心对交易过户行为不收取任何费用。因模拟股票期权转让收入所产生的纳税义务，由转让人自行承担。</w:t>
      </w:r>
    </w:p>
    <w:p w14:paraId="3AE5B4A2" w14:textId="77777777" w:rsidR="003B35AA" w:rsidRDefault="003B35AA">
      <w:pPr>
        <w:pStyle w:val="af3"/>
        <w:spacing w:line="435" w:lineRule="atLeast"/>
        <w:rPr>
          <w:rFonts w:ascii="ˎ̥" w:hAnsi="ˎ̥"/>
          <w:color w:val="000000"/>
          <w:sz w:val="23"/>
          <w:szCs w:val="23"/>
        </w:rPr>
      </w:pPr>
      <w:r>
        <w:rPr>
          <w:rFonts w:ascii="ˎ̥" w:hAnsi="ˎ̥"/>
          <w:color w:val="000000"/>
          <w:sz w:val="23"/>
          <w:szCs w:val="23"/>
        </w:rPr>
        <w:t>2</w:t>
      </w:r>
      <w:r>
        <w:rPr>
          <w:rFonts w:ascii="ˎ̥" w:hAnsi="ˎ̥"/>
          <w:color w:val="000000"/>
          <w:sz w:val="23"/>
          <w:szCs w:val="23"/>
        </w:rPr>
        <w:t>、对实股部分的转让以《公司法》及公司章程作为规范。</w:t>
      </w:r>
    </w:p>
    <w:p w14:paraId="194F7A0E" w14:textId="77777777" w:rsidR="003B35AA" w:rsidRDefault="003B35AA">
      <w:pPr>
        <w:pStyle w:val="af3"/>
        <w:spacing w:line="435" w:lineRule="atLeast"/>
        <w:rPr>
          <w:rFonts w:ascii="ˎ̥" w:hAnsi="ˎ̥"/>
          <w:b/>
          <w:color w:val="000000"/>
          <w:sz w:val="23"/>
          <w:szCs w:val="23"/>
        </w:rPr>
      </w:pPr>
      <w:r>
        <w:rPr>
          <w:rFonts w:ascii="ˎ̥" w:hAnsi="ˎ̥"/>
          <w:b/>
          <w:color w:val="000000"/>
          <w:sz w:val="23"/>
          <w:szCs w:val="23"/>
        </w:rPr>
        <w:t>第二十四条</w:t>
      </w:r>
      <w:r>
        <w:rPr>
          <w:rFonts w:ascii="ˎ̥" w:hAnsi="ˎ̥"/>
          <w:b/>
          <w:color w:val="000000"/>
          <w:sz w:val="23"/>
          <w:szCs w:val="23"/>
        </w:rPr>
        <w:t xml:space="preserve">     </w:t>
      </w:r>
      <w:r>
        <w:rPr>
          <w:rFonts w:ascii="ˎ̥" w:hAnsi="ˎ̥"/>
          <w:b/>
          <w:color w:val="000000"/>
          <w:sz w:val="23"/>
          <w:szCs w:val="23"/>
        </w:rPr>
        <w:t>内部交易规则</w:t>
      </w:r>
    </w:p>
    <w:p w14:paraId="190A1E57" w14:textId="77777777" w:rsidR="003B35AA" w:rsidRDefault="003B35AA">
      <w:pPr>
        <w:pStyle w:val="af3"/>
        <w:spacing w:line="435" w:lineRule="atLeast"/>
        <w:rPr>
          <w:rFonts w:ascii="ˎ̥" w:hAnsi="ˎ̥"/>
          <w:color w:val="000000"/>
          <w:sz w:val="23"/>
          <w:szCs w:val="23"/>
        </w:rPr>
      </w:pPr>
      <w:r>
        <w:rPr>
          <w:rFonts w:ascii="ˎ̥" w:hAnsi="ˎ̥"/>
          <w:color w:val="000000"/>
          <w:sz w:val="23"/>
          <w:szCs w:val="23"/>
        </w:rPr>
        <w:t>1</w:t>
      </w:r>
      <w:r>
        <w:rPr>
          <w:rFonts w:ascii="ˎ̥" w:hAnsi="ˎ̥"/>
          <w:color w:val="000000"/>
          <w:sz w:val="23"/>
          <w:szCs w:val="23"/>
        </w:rPr>
        <w:t>、模拟期权的交易实行交易时间有限的原则，交易中心只在每个月的最后一个工作日开放。其他时间不予开放，不予办理模拟股票期权交易的有关手续；</w:t>
      </w:r>
    </w:p>
    <w:p w14:paraId="343AAC60" w14:textId="77777777" w:rsidR="003B35AA" w:rsidRDefault="003B35AA">
      <w:pPr>
        <w:pStyle w:val="af3"/>
        <w:spacing w:line="435" w:lineRule="atLeast"/>
        <w:rPr>
          <w:rFonts w:ascii="ˎ̥" w:hAnsi="ˎ̥"/>
          <w:color w:val="000000"/>
          <w:sz w:val="23"/>
          <w:szCs w:val="23"/>
        </w:rPr>
      </w:pPr>
      <w:r>
        <w:rPr>
          <w:rFonts w:ascii="ˎ̥" w:hAnsi="ˎ̥"/>
          <w:color w:val="000000"/>
          <w:sz w:val="23"/>
          <w:szCs w:val="23"/>
        </w:rPr>
        <w:t>2</w:t>
      </w:r>
      <w:r>
        <w:rPr>
          <w:rFonts w:ascii="ˎ̥" w:hAnsi="ˎ̥"/>
          <w:color w:val="000000"/>
          <w:sz w:val="23"/>
          <w:szCs w:val="23"/>
        </w:rPr>
        <w:t>、模拟期权的交易实行交易数量有限的原则，鉴于实施模拟股票期权的目的在于建立长期激励机制，因此，只允许模拟期权持有人在每两个年度中转让其被授予的期权总量的六分之一，其通过模拟期权的交易所获得的期权不计算在内。但每次交易量可以拆细，进行多次交易；</w:t>
      </w:r>
    </w:p>
    <w:p w14:paraId="49F39E44" w14:textId="77777777" w:rsidR="003B35AA" w:rsidRDefault="003B35AA">
      <w:pPr>
        <w:pStyle w:val="af3"/>
        <w:spacing w:line="435" w:lineRule="atLeast"/>
        <w:rPr>
          <w:rFonts w:ascii="ˎ̥" w:hAnsi="ˎ̥"/>
          <w:color w:val="000000"/>
          <w:sz w:val="23"/>
          <w:szCs w:val="23"/>
        </w:rPr>
      </w:pPr>
      <w:r>
        <w:rPr>
          <w:rFonts w:ascii="ˎ̥" w:hAnsi="ˎ̥"/>
          <w:color w:val="000000"/>
          <w:sz w:val="23"/>
          <w:szCs w:val="23"/>
        </w:rPr>
        <w:t>3</w:t>
      </w:r>
      <w:r>
        <w:rPr>
          <w:rFonts w:ascii="ˎ̥" w:hAnsi="ˎ̥"/>
          <w:color w:val="000000"/>
          <w:sz w:val="23"/>
          <w:szCs w:val="23"/>
        </w:rPr>
        <w:t>、模拟期权的交易实行受让人限制原则，模拟股票期权的受让人只能是按本方案的规定已经被授予模拟股票期权的员工，不得向按本方案规定不能获得公司模拟股票期权的员工转让；</w:t>
      </w:r>
    </w:p>
    <w:p w14:paraId="220B63CE" w14:textId="77777777" w:rsidR="003B35AA" w:rsidRDefault="003B35AA">
      <w:pPr>
        <w:pStyle w:val="af3"/>
        <w:spacing w:line="435" w:lineRule="atLeast"/>
        <w:rPr>
          <w:rFonts w:ascii="ˎ̥" w:hAnsi="ˎ̥"/>
          <w:color w:val="000000"/>
          <w:sz w:val="23"/>
          <w:szCs w:val="23"/>
        </w:rPr>
      </w:pPr>
      <w:r>
        <w:rPr>
          <w:rFonts w:ascii="ˎ̥" w:hAnsi="ˎ̥"/>
          <w:color w:val="000000"/>
          <w:sz w:val="23"/>
          <w:szCs w:val="23"/>
        </w:rPr>
        <w:t>4</w:t>
      </w:r>
      <w:r>
        <w:rPr>
          <w:rFonts w:ascii="ˎ̥" w:hAnsi="ˎ̥"/>
          <w:color w:val="000000"/>
          <w:sz w:val="23"/>
          <w:szCs w:val="23"/>
        </w:rPr>
        <w:t>、模拟股票期权的交易不论发生在任何时间，均视同受让人享有转让人因模拟股票期权所享有的全部经济利益；</w:t>
      </w:r>
    </w:p>
    <w:p w14:paraId="2A00AC28" w14:textId="77777777" w:rsidR="003B35AA" w:rsidRDefault="003B35AA">
      <w:pPr>
        <w:pStyle w:val="af3"/>
        <w:spacing w:line="435" w:lineRule="atLeast"/>
        <w:rPr>
          <w:rFonts w:ascii="ˎ̥" w:hAnsi="ˎ̥"/>
          <w:color w:val="000000"/>
          <w:sz w:val="23"/>
          <w:szCs w:val="23"/>
        </w:rPr>
      </w:pPr>
      <w:r>
        <w:rPr>
          <w:rFonts w:ascii="ˎ̥" w:hAnsi="ˎ̥"/>
          <w:color w:val="000000"/>
          <w:sz w:val="23"/>
          <w:szCs w:val="23"/>
        </w:rPr>
        <w:t>5</w:t>
      </w:r>
      <w:r>
        <w:rPr>
          <w:rFonts w:ascii="ˎ̥" w:hAnsi="ˎ̥"/>
          <w:color w:val="000000"/>
          <w:sz w:val="23"/>
          <w:szCs w:val="23"/>
        </w:rPr>
        <w:t>、转让的模拟股票期权的行权时间为其原期权持有人最近一次行权时间。原期权持有人在该次行权的期权为本次应予行权量减去其转让部分的期权量；</w:t>
      </w:r>
    </w:p>
    <w:p w14:paraId="76D93798" w14:textId="77777777" w:rsidR="003B35AA" w:rsidRDefault="003B35AA">
      <w:pPr>
        <w:pStyle w:val="af3"/>
        <w:spacing w:line="435" w:lineRule="atLeast"/>
        <w:rPr>
          <w:rFonts w:ascii="ˎ̥" w:hAnsi="ˎ̥"/>
          <w:color w:val="000000"/>
          <w:sz w:val="23"/>
          <w:szCs w:val="23"/>
        </w:rPr>
      </w:pPr>
      <w:r>
        <w:rPr>
          <w:rFonts w:ascii="ˎ̥" w:hAnsi="ˎ̥"/>
          <w:color w:val="000000"/>
          <w:sz w:val="23"/>
          <w:szCs w:val="23"/>
        </w:rPr>
        <w:t>6</w:t>
      </w:r>
      <w:r>
        <w:rPr>
          <w:rFonts w:ascii="ˎ̥" w:hAnsi="ˎ̥"/>
          <w:color w:val="000000"/>
          <w:sz w:val="23"/>
          <w:szCs w:val="23"/>
        </w:rPr>
        <w:t>、模拟期权的转让价格由转让人和受让人平等协商确定；</w:t>
      </w:r>
    </w:p>
    <w:p w14:paraId="0636C3D9" w14:textId="77777777" w:rsidR="003B35AA" w:rsidRDefault="003B35AA">
      <w:pPr>
        <w:pStyle w:val="af3"/>
        <w:spacing w:line="435" w:lineRule="atLeast"/>
        <w:rPr>
          <w:rFonts w:ascii="ˎ̥" w:hAnsi="ˎ̥"/>
          <w:color w:val="000000"/>
          <w:sz w:val="23"/>
          <w:szCs w:val="23"/>
        </w:rPr>
      </w:pPr>
      <w:r>
        <w:rPr>
          <w:rFonts w:ascii="ˎ̥" w:hAnsi="ˎ̥"/>
          <w:color w:val="000000"/>
          <w:sz w:val="23"/>
          <w:szCs w:val="23"/>
        </w:rPr>
        <w:t>7</w:t>
      </w:r>
      <w:r>
        <w:rPr>
          <w:rFonts w:ascii="ˎ̥" w:hAnsi="ˎ̥"/>
          <w:color w:val="000000"/>
          <w:sz w:val="23"/>
          <w:szCs w:val="23"/>
        </w:rPr>
        <w:t>、转让人如果在其转让的期权尚未到达行权期时从公司离职，如果按本方案的规定，在离职后将被终止期权行权的，其转让价款应当交给公司董事会，由董事会将转让款转交给提供模拟股票期权的原股东，如果转让价款低于被授予期权时的相应净资产的，转让人须按净资产额予以补足。受让人可以继续持有这部分期权，行权时间不变。</w:t>
      </w:r>
    </w:p>
    <w:p w14:paraId="7E041898" w14:textId="77777777" w:rsidR="003B35AA" w:rsidRDefault="003B35AA">
      <w:pPr>
        <w:pStyle w:val="af3"/>
        <w:spacing w:line="435" w:lineRule="atLeast"/>
        <w:rPr>
          <w:rFonts w:ascii="ˎ̥" w:hAnsi="ˎ̥"/>
          <w:b/>
          <w:color w:val="000000"/>
          <w:sz w:val="23"/>
          <w:szCs w:val="23"/>
        </w:rPr>
      </w:pPr>
      <w:r>
        <w:rPr>
          <w:rFonts w:ascii="ˎ̥" w:hAnsi="ˎ̥"/>
          <w:b/>
          <w:color w:val="000000"/>
          <w:sz w:val="23"/>
          <w:szCs w:val="23"/>
        </w:rPr>
        <w:t>第八章</w:t>
      </w:r>
      <w:r>
        <w:rPr>
          <w:rFonts w:ascii="ˎ̥" w:hAnsi="ˎ̥"/>
          <w:b/>
          <w:color w:val="000000"/>
          <w:sz w:val="23"/>
          <w:szCs w:val="23"/>
        </w:rPr>
        <w:t xml:space="preserve">     </w:t>
      </w:r>
      <w:r>
        <w:rPr>
          <w:rFonts w:ascii="ˎ̥" w:hAnsi="ˎ̥"/>
          <w:b/>
          <w:color w:val="000000"/>
          <w:sz w:val="23"/>
          <w:szCs w:val="23"/>
        </w:rPr>
        <w:t>模拟股票期权的管理机构</w:t>
      </w:r>
    </w:p>
    <w:p w14:paraId="7E308B55" w14:textId="77777777" w:rsidR="003B35AA" w:rsidRDefault="003B35AA">
      <w:pPr>
        <w:pStyle w:val="af3"/>
        <w:spacing w:line="435" w:lineRule="atLeast"/>
        <w:rPr>
          <w:rFonts w:ascii="ˎ̥" w:hAnsi="ˎ̥"/>
          <w:b/>
          <w:color w:val="000000"/>
          <w:sz w:val="23"/>
          <w:szCs w:val="23"/>
        </w:rPr>
      </w:pPr>
      <w:r>
        <w:rPr>
          <w:rFonts w:ascii="ˎ̥" w:hAnsi="ˎ̥"/>
          <w:b/>
          <w:color w:val="000000"/>
          <w:sz w:val="23"/>
          <w:szCs w:val="23"/>
        </w:rPr>
        <w:t>第二十五条</w:t>
      </w:r>
      <w:r>
        <w:rPr>
          <w:rFonts w:ascii="ˎ̥" w:hAnsi="ˎ̥"/>
          <w:b/>
          <w:color w:val="000000"/>
          <w:sz w:val="23"/>
          <w:szCs w:val="23"/>
        </w:rPr>
        <w:t xml:space="preserve">     </w:t>
      </w:r>
      <w:r>
        <w:rPr>
          <w:rFonts w:ascii="ˎ̥" w:hAnsi="ˎ̥"/>
          <w:b/>
          <w:color w:val="000000"/>
          <w:sz w:val="23"/>
          <w:szCs w:val="23"/>
        </w:rPr>
        <w:t>模拟股票期权的管理机构</w:t>
      </w:r>
    </w:p>
    <w:p w14:paraId="275E2F7F" w14:textId="77777777" w:rsidR="003B35AA" w:rsidRDefault="003B35AA">
      <w:pPr>
        <w:pStyle w:val="af3"/>
        <w:spacing w:line="435" w:lineRule="atLeast"/>
        <w:rPr>
          <w:rFonts w:ascii="ˎ̥" w:hAnsi="ˎ̥"/>
          <w:color w:val="000000"/>
          <w:sz w:val="23"/>
          <w:szCs w:val="23"/>
        </w:rPr>
      </w:pPr>
      <w:r>
        <w:rPr>
          <w:rFonts w:ascii="ˎ̥" w:hAnsi="ˎ̥"/>
          <w:color w:val="000000"/>
          <w:sz w:val="23"/>
          <w:szCs w:val="23"/>
        </w:rPr>
        <w:t>公司董事会在获得股东会的授权后，设立薪酬委员会。薪酬委员会是模拟股票期权的日常管理机构，其管理工作包括向董事会报告模拟股票期权的执行情况、与受益人签订授予模拟股票期权协议书、发出授予通知书、模拟股票期权调整通知书、模拟股票期权终止通知书、设立模拟股票期权的管理名册、拟订模拟期权的具体行权时间、对具体受益人的授予度等。</w:t>
      </w:r>
    </w:p>
    <w:p w14:paraId="6350D91A" w14:textId="77777777" w:rsidR="003B35AA" w:rsidRDefault="003B35AA">
      <w:pPr>
        <w:pStyle w:val="af3"/>
        <w:spacing w:line="435" w:lineRule="atLeast"/>
        <w:rPr>
          <w:rFonts w:ascii="ˎ̥" w:hAnsi="ˎ̥"/>
          <w:b/>
          <w:color w:val="000000"/>
          <w:sz w:val="23"/>
          <w:szCs w:val="23"/>
        </w:rPr>
      </w:pPr>
      <w:r>
        <w:rPr>
          <w:rFonts w:ascii="ˎ̥" w:hAnsi="ˎ̥"/>
          <w:b/>
          <w:color w:val="000000"/>
          <w:sz w:val="23"/>
          <w:szCs w:val="23"/>
        </w:rPr>
        <w:t>第九章</w:t>
      </w:r>
      <w:r>
        <w:rPr>
          <w:rFonts w:ascii="ˎ̥" w:hAnsi="ˎ̥"/>
          <w:b/>
          <w:color w:val="000000"/>
          <w:sz w:val="23"/>
          <w:szCs w:val="23"/>
        </w:rPr>
        <w:t xml:space="preserve">     </w:t>
      </w:r>
      <w:r>
        <w:rPr>
          <w:rFonts w:ascii="ˎ̥" w:hAnsi="ˎ̥"/>
          <w:b/>
          <w:color w:val="000000"/>
          <w:sz w:val="23"/>
          <w:szCs w:val="23"/>
        </w:rPr>
        <w:t>附则</w:t>
      </w:r>
    </w:p>
    <w:p w14:paraId="2FA59C9A" w14:textId="77777777" w:rsidR="003B35AA" w:rsidRDefault="003B35AA">
      <w:pPr>
        <w:pStyle w:val="af3"/>
        <w:spacing w:line="435" w:lineRule="atLeast"/>
        <w:rPr>
          <w:rFonts w:ascii="ˎ̥" w:hAnsi="ˎ̥"/>
          <w:b/>
          <w:color w:val="000000"/>
          <w:sz w:val="23"/>
          <w:szCs w:val="23"/>
        </w:rPr>
      </w:pPr>
      <w:r>
        <w:rPr>
          <w:rFonts w:ascii="ˎ̥" w:hAnsi="ˎ̥"/>
          <w:b/>
          <w:color w:val="000000"/>
          <w:sz w:val="23"/>
          <w:szCs w:val="23"/>
        </w:rPr>
        <w:t>第二十六条</w:t>
      </w:r>
      <w:r>
        <w:rPr>
          <w:rFonts w:ascii="ˎ̥" w:hAnsi="ˎ̥"/>
          <w:b/>
          <w:color w:val="000000"/>
          <w:sz w:val="23"/>
          <w:szCs w:val="23"/>
        </w:rPr>
        <w:t xml:space="preserve">     </w:t>
      </w:r>
      <w:r>
        <w:rPr>
          <w:rFonts w:ascii="ˎ̥" w:hAnsi="ˎ̥"/>
          <w:b/>
          <w:color w:val="000000"/>
          <w:sz w:val="23"/>
          <w:szCs w:val="23"/>
        </w:rPr>
        <w:t>本方案由公司董事会负责解释。在第一个运行周期结束后，由股东会决定是否延续执行或修订。</w:t>
      </w:r>
    </w:p>
    <w:p w14:paraId="7F7597D5" w14:textId="77777777" w:rsidR="003B35AA" w:rsidRDefault="003B35AA">
      <w:pPr>
        <w:pStyle w:val="af3"/>
        <w:spacing w:line="435" w:lineRule="atLeast"/>
        <w:rPr>
          <w:rFonts w:ascii="ˎ̥" w:hAnsi="ˎ̥"/>
          <w:b/>
          <w:color w:val="000000"/>
          <w:sz w:val="23"/>
          <w:szCs w:val="23"/>
        </w:rPr>
      </w:pPr>
      <w:r>
        <w:rPr>
          <w:rFonts w:ascii="ˎ̥" w:hAnsi="ˎ̥"/>
          <w:b/>
          <w:color w:val="000000"/>
          <w:sz w:val="23"/>
          <w:szCs w:val="23"/>
        </w:rPr>
        <w:t>第二十七条</w:t>
      </w:r>
      <w:r>
        <w:rPr>
          <w:rFonts w:ascii="ˎ̥" w:hAnsi="ˎ̥"/>
          <w:b/>
          <w:color w:val="000000"/>
          <w:sz w:val="23"/>
          <w:szCs w:val="23"/>
        </w:rPr>
        <w:t xml:space="preserve">     </w:t>
      </w:r>
      <w:r>
        <w:rPr>
          <w:rFonts w:ascii="ˎ̥" w:hAnsi="ˎ̥"/>
          <w:b/>
          <w:color w:val="000000"/>
          <w:sz w:val="23"/>
          <w:szCs w:val="23"/>
        </w:rPr>
        <w:t>本方案附个附件，作为本方案的组成部分。</w:t>
      </w:r>
    </w:p>
    <w:p w14:paraId="5D4EC90D" w14:textId="77777777" w:rsidR="003B35AA" w:rsidRDefault="003B35AA">
      <w:pPr>
        <w:pStyle w:val="af3"/>
        <w:spacing w:line="435" w:lineRule="atLeast"/>
        <w:rPr>
          <w:rFonts w:ascii="ˎ̥" w:hAnsi="ˎ̥"/>
          <w:b/>
          <w:color w:val="000000"/>
          <w:sz w:val="23"/>
          <w:szCs w:val="23"/>
        </w:rPr>
      </w:pPr>
      <w:r>
        <w:rPr>
          <w:rFonts w:ascii="ˎ̥" w:hAnsi="ˎ̥"/>
          <w:b/>
          <w:color w:val="000000"/>
          <w:sz w:val="23"/>
          <w:szCs w:val="23"/>
        </w:rPr>
        <w:t>第二十八条</w:t>
      </w:r>
      <w:r>
        <w:rPr>
          <w:rFonts w:ascii="ˎ̥" w:hAnsi="ˎ̥"/>
          <w:b/>
          <w:color w:val="000000"/>
          <w:sz w:val="23"/>
          <w:szCs w:val="23"/>
        </w:rPr>
        <w:t xml:space="preserve">     </w:t>
      </w:r>
      <w:r>
        <w:rPr>
          <w:rFonts w:ascii="ˎ̥" w:hAnsi="ˎ̥"/>
          <w:b/>
          <w:color w:val="000000"/>
          <w:sz w:val="23"/>
          <w:szCs w:val="23"/>
        </w:rPr>
        <w:t>本方案自</w:t>
      </w:r>
      <w:r>
        <w:rPr>
          <w:rFonts w:ascii="ˎ̥" w:hAnsi="ˎ̥"/>
          <w:b/>
          <w:color w:val="000000"/>
          <w:sz w:val="23"/>
          <w:szCs w:val="23"/>
        </w:rPr>
        <w:t>X</w:t>
      </w:r>
      <w:r>
        <w:rPr>
          <w:rFonts w:ascii="ˎ̥" w:hAnsi="ˎ̥"/>
          <w:b/>
          <w:color w:val="000000"/>
          <w:sz w:val="23"/>
          <w:szCs w:val="23"/>
        </w:rPr>
        <w:t>年</w:t>
      </w:r>
      <w:r>
        <w:rPr>
          <w:rFonts w:ascii="ˎ̥" w:hAnsi="ˎ̥"/>
          <w:b/>
          <w:color w:val="000000"/>
          <w:sz w:val="23"/>
          <w:szCs w:val="23"/>
        </w:rPr>
        <w:t>X</w:t>
      </w:r>
      <w:r>
        <w:rPr>
          <w:rFonts w:ascii="ˎ̥" w:hAnsi="ˎ̥"/>
          <w:b/>
          <w:color w:val="000000"/>
          <w:sz w:val="23"/>
          <w:szCs w:val="23"/>
        </w:rPr>
        <w:t>月</w:t>
      </w:r>
      <w:r>
        <w:rPr>
          <w:rFonts w:ascii="ˎ̥" w:hAnsi="ˎ̥"/>
          <w:b/>
          <w:color w:val="000000"/>
          <w:sz w:val="23"/>
          <w:szCs w:val="23"/>
        </w:rPr>
        <w:t>X</w:t>
      </w:r>
      <w:r>
        <w:rPr>
          <w:rFonts w:ascii="ˎ̥" w:hAnsi="ˎ̥"/>
          <w:b/>
          <w:color w:val="000000"/>
          <w:sz w:val="23"/>
          <w:szCs w:val="23"/>
        </w:rPr>
        <w:t>日起实施</w:t>
      </w:r>
    </w:p>
    <w:p w14:paraId="3283EF89" w14:textId="77777777" w:rsidR="003B35AA" w:rsidRDefault="003B35AA"/>
    <w:p w14:paraId="0A891F42" w14:textId="77777777" w:rsidR="003B35AA" w:rsidRDefault="003B35AA">
      <w:pPr>
        <w:rPr>
          <w:szCs w:val="24"/>
        </w:rPr>
      </w:pPr>
    </w:p>
    <w:sectPr w:rsidR="003B35AA">
      <w:pgSz w:w="11906" w:h="16838"/>
      <w:pgMar w:top="1440" w:right="1800" w:bottom="1440" w:left="1800" w:header="0" w:footer="454"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41450" w14:textId="77777777" w:rsidR="003B35AA" w:rsidRDefault="003B35AA" w:rsidP="00625301">
      <w:r>
        <w:separator/>
      </w:r>
    </w:p>
  </w:endnote>
  <w:endnote w:type="continuationSeparator" w:id="0">
    <w:p w14:paraId="6DD07BEA" w14:textId="77777777" w:rsidR="003B35AA" w:rsidRDefault="003B35AA" w:rsidP="006253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sig w:usb0="00000000" w:usb1="00000000" w:usb2="00000000"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BC6DE" w14:textId="77777777" w:rsidR="003B35AA" w:rsidRDefault="003B35AA" w:rsidP="00625301">
      <w:r>
        <w:separator/>
      </w:r>
    </w:p>
  </w:footnote>
  <w:footnote w:type="continuationSeparator" w:id="0">
    <w:p w14:paraId="4A86B33A" w14:textId="77777777" w:rsidR="003B35AA" w:rsidRDefault="003B35AA" w:rsidP="0062530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37E07"/>
    <w:rsid w:val="00000CE1"/>
    <w:rsid w:val="000020BA"/>
    <w:rsid w:val="00005378"/>
    <w:rsid w:val="00005862"/>
    <w:rsid w:val="000076A7"/>
    <w:rsid w:val="00014660"/>
    <w:rsid w:val="00017E71"/>
    <w:rsid w:val="00026B6A"/>
    <w:rsid w:val="00027B71"/>
    <w:rsid w:val="00035506"/>
    <w:rsid w:val="00036823"/>
    <w:rsid w:val="00040BC0"/>
    <w:rsid w:val="0004265C"/>
    <w:rsid w:val="00042EC8"/>
    <w:rsid w:val="00047BDA"/>
    <w:rsid w:val="000532D6"/>
    <w:rsid w:val="00053C42"/>
    <w:rsid w:val="00054322"/>
    <w:rsid w:val="00057F4C"/>
    <w:rsid w:val="00064726"/>
    <w:rsid w:val="00067ECF"/>
    <w:rsid w:val="00070442"/>
    <w:rsid w:val="000854E1"/>
    <w:rsid w:val="000905DF"/>
    <w:rsid w:val="0009234F"/>
    <w:rsid w:val="00092C5C"/>
    <w:rsid w:val="0009437C"/>
    <w:rsid w:val="0009537D"/>
    <w:rsid w:val="000A1FA7"/>
    <w:rsid w:val="000A3FCD"/>
    <w:rsid w:val="000A65CD"/>
    <w:rsid w:val="000B1997"/>
    <w:rsid w:val="000B52FF"/>
    <w:rsid w:val="000B7C3D"/>
    <w:rsid w:val="000C5D7C"/>
    <w:rsid w:val="000D015D"/>
    <w:rsid w:val="000D3463"/>
    <w:rsid w:val="000E2FD6"/>
    <w:rsid w:val="000E333C"/>
    <w:rsid w:val="000F2C22"/>
    <w:rsid w:val="000F3F00"/>
    <w:rsid w:val="000F4913"/>
    <w:rsid w:val="00114A77"/>
    <w:rsid w:val="001212BE"/>
    <w:rsid w:val="001226D6"/>
    <w:rsid w:val="001230C2"/>
    <w:rsid w:val="00123903"/>
    <w:rsid w:val="00123906"/>
    <w:rsid w:val="0012783E"/>
    <w:rsid w:val="001309B0"/>
    <w:rsid w:val="00131848"/>
    <w:rsid w:val="001319E9"/>
    <w:rsid w:val="00131CE9"/>
    <w:rsid w:val="00137965"/>
    <w:rsid w:val="00140153"/>
    <w:rsid w:val="0014047F"/>
    <w:rsid w:val="00141227"/>
    <w:rsid w:val="00146ACA"/>
    <w:rsid w:val="00150E4D"/>
    <w:rsid w:val="00151410"/>
    <w:rsid w:val="00151539"/>
    <w:rsid w:val="0015255A"/>
    <w:rsid w:val="00152D7A"/>
    <w:rsid w:val="00154DFD"/>
    <w:rsid w:val="00156355"/>
    <w:rsid w:val="001567F5"/>
    <w:rsid w:val="00156C63"/>
    <w:rsid w:val="00162F0B"/>
    <w:rsid w:val="00164EF7"/>
    <w:rsid w:val="00170CD8"/>
    <w:rsid w:val="00170E9D"/>
    <w:rsid w:val="00172A8E"/>
    <w:rsid w:val="0017605C"/>
    <w:rsid w:val="0017625F"/>
    <w:rsid w:val="00183242"/>
    <w:rsid w:val="0018627D"/>
    <w:rsid w:val="00191FD2"/>
    <w:rsid w:val="001950F1"/>
    <w:rsid w:val="001B0B3D"/>
    <w:rsid w:val="001B1BBB"/>
    <w:rsid w:val="001B2C01"/>
    <w:rsid w:val="001B7A3F"/>
    <w:rsid w:val="001C0CD9"/>
    <w:rsid w:val="001C3A32"/>
    <w:rsid w:val="001C4F53"/>
    <w:rsid w:val="001C54BB"/>
    <w:rsid w:val="001D0675"/>
    <w:rsid w:val="001D6A4F"/>
    <w:rsid w:val="001D75F3"/>
    <w:rsid w:val="001E11C3"/>
    <w:rsid w:val="001E386B"/>
    <w:rsid w:val="001E3CA2"/>
    <w:rsid w:val="001F2B84"/>
    <w:rsid w:val="001F4101"/>
    <w:rsid w:val="001F50E9"/>
    <w:rsid w:val="001F57F4"/>
    <w:rsid w:val="001F5F20"/>
    <w:rsid w:val="0020126A"/>
    <w:rsid w:val="00201275"/>
    <w:rsid w:val="00202816"/>
    <w:rsid w:val="002042A5"/>
    <w:rsid w:val="002051A0"/>
    <w:rsid w:val="002125B8"/>
    <w:rsid w:val="00214B40"/>
    <w:rsid w:val="002157DC"/>
    <w:rsid w:val="0022076B"/>
    <w:rsid w:val="00221E1E"/>
    <w:rsid w:val="00222444"/>
    <w:rsid w:val="00225255"/>
    <w:rsid w:val="00226B03"/>
    <w:rsid w:val="00230657"/>
    <w:rsid w:val="00231C96"/>
    <w:rsid w:val="002331F7"/>
    <w:rsid w:val="00234D45"/>
    <w:rsid w:val="00240DB2"/>
    <w:rsid w:val="0025247B"/>
    <w:rsid w:val="00252C7D"/>
    <w:rsid w:val="00253467"/>
    <w:rsid w:val="00254243"/>
    <w:rsid w:val="00254D24"/>
    <w:rsid w:val="00272B93"/>
    <w:rsid w:val="0027570D"/>
    <w:rsid w:val="002779BF"/>
    <w:rsid w:val="0028285F"/>
    <w:rsid w:val="002833D3"/>
    <w:rsid w:val="002901CA"/>
    <w:rsid w:val="002A2712"/>
    <w:rsid w:val="002B054E"/>
    <w:rsid w:val="002B0F2E"/>
    <w:rsid w:val="002B7888"/>
    <w:rsid w:val="002C27C7"/>
    <w:rsid w:val="002C2DAA"/>
    <w:rsid w:val="002C30D3"/>
    <w:rsid w:val="002D0C38"/>
    <w:rsid w:val="002D6B8F"/>
    <w:rsid w:val="002D6C18"/>
    <w:rsid w:val="002E015B"/>
    <w:rsid w:val="002E16DC"/>
    <w:rsid w:val="002E1A4F"/>
    <w:rsid w:val="002E48DE"/>
    <w:rsid w:val="002E50BD"/>
    <w:rsid w:val="002E545E"/>
    <w:rsid w:val="002E5CBE"/>
    <w:rsid w:val="002E7868"/>
    <w:rsid w:val="002F11DF"/>
    <w:rsid w:val="002F40C9"/>
    <w:rsid w:val="002F71A9"/>
    <w:rsid w:val="003048A8"/>
    <w:rsid w:val="0030502B"/>
    <w:rsid w:val="00306F50"/>
    <w:rsid w:val="00310454"/>
    <w:rsid w:val="003122EA"/>
    <w:rsid w:val="00325D6C"/>
    <w:rsid w:val="00335693"/>
    <w:rsid w:val="003366A6"/>
    <w:rsid w:val="003374C4"/>
    <w:rsid w:val="003427F8"/>
    <w:rsid w:val="00343679"/>
    <w:rsid w:val="00343C3F"/>
    <w:rsid w:val="003445D0"/>
    <w:rsid w:val="003471C2"/>
    <w:rsid w:val="00350773"/>
    <w:rsid w:val="00356CF1"/>
    <w:rsid w:val="003573D6"/>
    <w:rsid w:val="0037751A"/>
    <w:rsid w:val="003811C4"/>
    <w:rsid w:val="003834C1"/>
    <w:rsid w:val="00387B52"/>
    <w:rsid w:val="00391444"/>
    <w:rsid w:val="00393FC0"/>
    <w:rsid w:val="003953D9"/>
    <w:rsid w:val="003A065F"/>
    <w:rsid w:val="003A1A94"/>
    <w:rsid w:val="003A7ADD"/>
    <w:rsid w:val="003B2180"/>
    <w:rsid w:val="003B25F2"/>
    <w:rsid w:val="003B35AA"/>
    <w:rsid w:val="003B3A7E"/>
    <w:rsid w:val="003B4D10"/>
    <w:rsid w:val="003B4F26"/>
    <w:rsid w:val="003B5159"/>
    <w:rsid w:val="003B6A0F"/>
    <w:rsid w:val="003B6A31"/>
    <w:rsid w:val="003C3BAB"/>
    <w:rsid w:val="003D027C"/>
    <w:rsid w:val="003D0518"/>
    <w:rsid w:val="003D667A"/>
    <w:rsid w:val="003E0816"/>
    <w:rsid w:val="003E16D2"/>
    <w:rsid w:val="003E5320"/>
    <w:rsid w:val="003E5D3D"/>
    <w:rsid w:val="003F2A65"/>
    <w:rsid w:val="003F62CC"/>
    <w:rsid w:val="0040057C"/>
    <w:rsid w:val="00401C92"/>
    <w:rsid w:val="00402F66"/>
    <w:rsid w:val="00404808"/>
    <w:rsid w:val="004049F9"/>
    <w:rsid w:val="00407009"/>
    <w:rsid w:val="00410179"/>
    <w:rsid w:val="00410DAE"/>
    <w:rsid w:val="0042349A"/>
    <w:rsid w:val="00423E74"/>
    <w:rsid w:val="00425D6F"/>
    <w:rsid w:val="00431F40"/>
    <w:rsid w:val="00434618"/>
    <w:rsid w:val="00437582"/>
    <w:rsid w:val="00447439"/>
    <w:rsid w:val="00451171"/>
    <w:rsid w:val="00451EA7"/>
    <w:rsid w:val="00452EF2"/>
    <w:rsid w:val="00464436"/>
    <w:rsid w:val="00470C5C"/>
    <w:rsid w:val="00482500"/>
    <w:rsid w:val="00493ED7"/>
    <w:rsid w:val="00494DC2"/>
    <w:rsid w:val="00495E52"/>
    <w:rsid w:val="00496476"/>
    <w:rsid w:val="00497D4D"/>
    <w:rsid w:val="004A349C"/>
    <w:rsid w:val="004B7D1A"/>
    <w:rsid w:val="004C0B5F"/>
    <w:rsid w:val="004C394E"/>
    <w:rsid w:val="004C6021"/>
    <w:rsid w:val="004D3B9A"/>
    <w:rsid w:val="004E20C5"/>
    <w:rsid w:val="004E55E0"/>
    <w:rsid w:val="004F0E9E"/>
    <w:rsid w:val="004F1B64"/>
    <w:rsid w:val="004F318A"/>
    <w:rsid w:val="004F367D"/>
    <w:rsid w:val="004F7FFE"/>
    <w:rsid w:val="00501056"/>
    <w:rsid w:val="005040C2"/>
    <w:rsid w:val="00504FBC"/>
    <w:rsid w:val="00506107"/>
    <w:rsid w:val="00520530"/>
    <w:rsid w:val="0052441C"/>
    <w:rsid w:val="005265B1"/>
    <w:rsid w:val="005271EC"/>
    <w:rsid w:val="005370C3"/>
    <w:rsid w:val="00537870"/>
    <w:rsid w:val="00537E07"/>
    <w:rsid w:val="005418E8"/>
    <w:rsid w:val="00545D4A"/>
    <w:rsid w:val="00553C80"/>
    <w:rsid w:val="00560688"/>
    <w:rsid w:val="005678CB"/>
    <w:rsid w:val="005702AE"/>
    <w:rsid w:val="00570C5D"/>
    <w:rsid w:val="005723AF"/>
    <w:rsid w:val="00582090"/>
    <w:rsid w:val="00583EA7"/>
    <w:rsid w:val="0059030D"/>
    <w:rsid w:val="00591F29"/>
    <w:rsid w:val="00593E8F"/>
    <w:rsid w:val="00596059"/>
    <w:rsid w:val="00596A27"/>
    <w:rsid w:val="005A21CF"/>
    <w:rsid w:val="005B2E3B"/>
    <w:rsid w:val="005B4444"/>
    <w:rsid w:val="005C70CE"/>
    <w:rsid w:val="005D2975"/>
    <w:rsid w:val="005D2ABA"/>
    <w:rsid w:val="005D3C42"/>
    <w:rsid w:val="005D4844"/>
    <w:rsid w:val="005D66D9"/>
    <w:rsid w:val="005D7782"/>
    <w:rsid w:val="005E66C6"/>
    <w:rsid w:val="005F1373"/>
    <w:rsid w:val="005F1F1A"/>
    <w:rsid w:val="005F4780"/>
    <w:rsid w:val="006026B3"/>
    <w:rsid w:val="00603D8A"/>
    <w:rsid w:val="00604F38"/>
    <w:rsid w:val="006050A1"/>
    <w:rsid w:val="006052C5"/>
    <w:rsid w:val="006079EA"/>
    <w:rsid w:val="00614A20"/>
    <w:rsid w:val="00621381"/>
    <w:rsid w:val="006232A7"/>
    <w:rsid w:val="00625301"/>
    <w:rsid w:val="006330B3"/>
    <w:rsid w:val="00633731"/>
    <w:rsid w:val="0063459F"/>
    <w:rsid w:val="00635441"/>
    <w:rsid w:val="00637C37"/>
    <w:rsid w:val="006435A3"/>
    <w:rsid w:val="00643836"/>
    <w:rsid w:val="00643A91"/>
    <w:rsid w:val="00654FCB"/>
    <w:rsid w:val="00660355"/>
    <w:rsid w:val="00661097"/>
    <w:rsid w:val="00662C45"/>
    <w:rsid w:val="00670C1C"/>
    <w:rsid w:val="00672721"/>
    <w:rsid w:val="006735DB"/>
    <w:rsid w:val="00675602"/>
    <w:rsid w:val="00676877"/>
    <w:rsid w:val="00676A98"/>
    <w:rsid w:val="00677931"/>
    <w:rsid w:val="006807E8"/>
    <w:rsid w:val="0068091C"/>
    <w:rsid w:val="00680AA5"/>
    <w:rsid w:val="006848DE"/>
    <w:rsid w:val="00686951"/>
    <w:rsid w:val="0069083E"/>
    <w:rsid w:val="0069122D"/>
    <w:rsid w:val="00691EEE"/>
    <w:rsid w:val="00692F5F"/>
    <w:rsid w:val="006966FA"/>
    <w:rsid w:val="0069758D"/>
    <w:rsid w:val="006A13C1"/>
    <w:rsid w:val="006A5AEF"/>
    <w:rsid w:val="006B6613"/>
    <w:rsid w:val="006C1016"/>
    <w:rsid w:val="006C1623"/>
    <w:rsid w:val="006C3D92"/>
    <w:rsid w:val="006C40C7"/>
    <w:rsid w:val="006C65F5"/>
    <w:rsid w:val="006D3914"/>
    <w:rsid w:val="006D5EEF"/>
    <w:rsid w:val="006E0CA3"/>
    <w:rsid w:val="006E2679"/>
    <w:rsid w:val="006E2C8E"/>
    <w:rsid w:val="006E40D0"/>
    <w:rsid w:val="006E5EF3"/>
    <w:rsid w:val="007000C8"/>
    <w:rsid w:val="007037B3"/>
    <w:rsid w:val="00704162"/>
    <w:rsid w:val="00705F98"/>
    <w:rsid w:val="00711A65"/>
    <w:rsid w:val="007137DE"/>
    <w:rsid w:val="0071648A"/>
    <w:rsid w:val="00722AE2"/>
    <w:rsid w:val="00725352"/>
    <w:rsid w:val="00727619"/>
    <w:rsid w:val="00730323"/>
    <w:rsid w:val="0073036A"/>
    <w:rsid w:val="0073147C"/>
    <w:rsid w:val="00732862"/>
    <w:rsid w:val="00736862"/>
    <w:rsid w:val="007374A3"/>
    <w:rsid w:val="007403FF"/>
    <w:rsid w:val="007415BC"/>
    <w:rsid w:val="00741A8F"/>
    <w:rsid w:val="007443A4"/>
    <w:rsid w:val="0074532B"/>
    <w:rsid w:val="0075194D"/>
    <w:rsid w:val="0075592C"/>
    <w:rsid w:val="00755DA5"/>
    <w:rsid w:val="0076188A"/>
    <w:rsid w:val="007635E7"/>
    <w:rsid w:val="0076594E"/>
    <w:rsid w:val="007754CC"/>
    <w:rsid w:val="007767A5"/>
    <w:rsid w:val="00785C79"/>
    <w:rsid w:val="00785E30"/>
    <w:rsid w:val="007A3172"/>
    <w:rsid w:val="007A668F"/>
    <w:rsid w:val="007C39C2"/>
    <w:rsid w:val="007C7898"/>
    <w:rsid w:val="007D3926"/>
    <w:rsid w:val="007D3D16"/>
    <w:rsid w:val="007D4FAA"/>
    <w:rsid w:val="007D6230"/>
    <w:rsid w:val="007F02AB"/>
    <w:rsid w:val="007F6CA1"/>
    <w:rsid w:val="008004D1"/>
    <w:rsid w:val="00800BA6"/>
    <w:rsid w:val="0080576D"/>
    <w:rsid w:val="00807B8C"/>
    <w:rsid w:val="008168FE"/>
    <w:rsid w:val="008233F3"/>
    <w:rsid w:val="008328D8"/>
    <w:rsid w:val="008413D9"/>
    <w:rsid w:val="00842A77"/>
    <w:rsid w:val="00846873"/>
    <w:rsid w:val="00847514"/>
    <w:rsid w:val="0085173A"/>
    <w:rsid w:val="00851FF0"/>
    <w:rsid w:val="00866EF0"/>
    <w:rsid w:val="0087289E"/>
    <w:rsid w:val="00875D4A"/>
    <w:rsid w:val="00881300"/>
    <w:rsid w:val="00881A7A"/>
    <w:rsid w:val="00884410"/>
    <w:rsid w:val="00886247"/>
    <w:rsid w:val="00887EDA"/>
    <w:rsid w:val="008925DE"/>
    <w:rsid w:val="00892C8C"/>
    <w:rsid w:val="008943AA"/>
    <w:rsid w:val="008950F4"/>
    <w:rsid w:val="00895C12"/>
    <w:rsid w:val="008A4E36"/>
    <w:rsid w:val="008A5596"/>
    <w:rsid w:val="008B1C1B"/>
    <w:rsid w:val="008B4789"/>
    <w:rsid w:val="008B4B81"/>
    <w:rsid w:val="008B5A03"/>
    <w:rsid w:val="008B7EF0"/>
    <w:rsid w:val="008C100D"/>
    <w:rsid w:val="008C2C2B"/>
    <w:rsid w:val="008D1915"/>
    <w:rsid w:val="008D6270"/>
    <w:rsid w:val="008E144D"/>
    <w:rsid w:val="008E2733"/>
    <w:rsid w:val="008E304B"/>
    <w:rsid w:val="008E55DA"/>
    <w:rsid w:val="008E752E"/>
    <w:rsid w:val="008E7F77"/>
    <w:rsid w:val="008F6AC9"/>
    <w:rsid w:val="008F73E7"/>
    <w:rsid w:val="00900590"/>
    <w:rsid w:val="00902F14"/>
    <w:rsid w:val="00903CE2"/>
    <w:rsid w:val="00904225"/>
    <w:rsid w:val="0090512B"/>
    <w:rsid w:val="00910BB1"/>
    <w:rsid w:val="0091477A"/>
    <w:rsid w:val="00914B91"/>
    <w:rsid w:val="00915226"/>
    <w:rsid w:val="009165BC"/>
    <w:rsid w:val="009165D6"/>
    <w:rsid w:val="00916973"/>
    <w:rsid w:val="009216CF"/>
    <w:rsid w:val="0092189A"/>
    <w:rsid w:val="00921C2F"/>
    <w:rsid w:val="00923136"/>
    <w:rsid w:val="0092436E"/>
    <w:rsid w:val="00924869"/>
    <w:rsid w:val="00926176"/>
    <w:rsid w:val="009264A9"/>
    <w:rsid w:val="00927125"/>
    <w:rsid w:val="00931569"/>
    <w:rsid w:val="009315CC"/>
    <w:rsid w:val="0093166C"/>
    <w:rsid w:val="00934FA9"/>
    <w:rsid w:val="00937212"/>
    <w:rsid w:val="00937678"/>
    <w:rsid w:val="00942893"/>
    <w:rsid w:val="0094295A"/>
    <w:rsid w:val="00942F7A"/>
    <w:rsid w:val="009532FC"/>
    <w:rsid w:val="00954323"/>
    <w:rsid w:val="00954C8D"/>
    <w:rsid w:val="009624BC"/>
    <w:rsid w:val="00964DAE"/>
    <w:rsid w:val="00965DAF"/>
    <w:rsid w:val="00970C18"/>
    <w:rsid w:val="009749FB"/>
    <w:rsid w:val="00974FFF"/>
    <w:rsid w:val="00980460"/>
    <w:rsid w:val="009811E0"/>
    <w:rsid w:val="00981B36"/>
    <w:rsid w:val="00984458"/>
    <w:rsid w:val="00985ACF"/>
    <w:rsid w:val="009966A6"/>
    <w:rsid w:val="00996BDA"/>
    <w:rsid w:val="0099725B"/>
    <w:rsid w:val="009A0424"/>
    <w:rsid w:val="009A654D"/>
    <w:rsid w:val="009A6AA1"/>
    <w:rsid w:val="009A7FC7"/>
    <w:rsid w:val="009B145A"/>
    <w:rsid w:val="009B3AC5"/>
    <w:rsid w:val="009B6141"/>
    <w:rsid w:val="009B725B"/>
    <w:rsid w:val="009C061B"/>
    <w:rsid w:val="009C2AC6"/>
    <w:rsid w:val="009C2D12"/>
    <w:rsid w:val="009C4407"/>
    <w:rsid w:val="009D065B"/>
    <w:rsid w:val="009D1CC6"/>
    <w:rsid w:val="009D1F7B"/>
    <w:rsid w:val="009D4C91"/>
    <w:rsid w:val="009E4A88"/>
    <w:rsid w:val="009E6A8D"/>
    <w:rsid w:val="009E709D"/>
    <w:rsid w:val="009F0406"/>
    <w:rsid w:val="009F20A0"/>
    <w:rsid w:val="009F5225"/>
    <w:rsid w:val="00A01841"/>
    <w:rsid w:val="00A0305B"/>
    <w:rsid w:val="00A033AD"/>
    <w:rsid w:val="00A20ECC"/>
    <w:rsid w:val="00A23932"/>
    <w:rsid w:val="00A2604B"/>
    <w:rsid w:val="00A32196"/>
    <w:rsid w:val="00A41899"/>
    <w:rsid w:val="00A424C8"/>
    <w:rsid w:val="00A5132E"/>
    <w:rsid w:val="00A55954"/>
    <w:rsid w:val="00A61CC9"/>
    <w:rsid w:val="00A63D45"/>
    <w:rsid w:val="00A64790"/>
    <w:rsid w:val="00A80B2C"/>
    <w:rsid w:val="00A80D21"/>
    <w:rsid w:val="00A849F6"/>
    <w:rsid w:val="00A8684F"/>
    <w:rsid w:val="00A87000"/>
    <w:rsid w:val="00A900AE"/>
    <w:rsid w:val="00A90BBC"/>
    <w:rsid w:val="00AA106C"/>
    <w:rsid w:val="00AA1740"/>
    <w:rsid w:val="00AA21D7"/>
    <w:rsid w:val="00AA28AC"/>
    <w:rsid w:val="00AA4BDD"/>
    <w:rsid w:val="00AA67A7"/>
    <w:rsid w:val="00AA6D88"/>
    <w:rsid w:val="00AB18C3"/>
    <w:rsid w:val="00AB3C40"/>
    <w:rsid w:val="00AB73DC"/>
    <w:rsid w:val="00AC0492"/>
    <w:rsid w:val="00AC130C"/>
    <w:rsid w:val="00AC3567"/>
    <w:rsid w:val="00AC49DE"/>
    <w:rsid w:val="00AC4D18"/>
    <w:rsid w:val="00AC5DD5"/>
    <w:rsid w:val="00AD1862"/>
    <w:rsid w:val="00AD2D9A"/>
    <w:rsid w:val="00AD4051"/>
    <w:rsid w:val="00AD4856"/>
    <w:rsid w:val="00AE2D93"/>
    <w:rsid w:val="00AE5CD7"/>
    <w:rsid w:val="00AF20C0"/>
    <w:rsid w:val="00AF7CCF"/>
    <w:rsid w:val="00B05BAC"/>
    <w:rsid w:val="00B112AC"/>
    <w:rsid w:val="00B14046"/>
    <w:rsid w:val="00B207C3"/>
    <w:rsid w:val="00B237C3"/>
    <w:rsid w:val="00B24497"/>
    <w:rsid w:val="00B246E3"/>
    <w:rsid w:val="00B25CA0"/>
    <w:rsid w:val="00B269B9"/>
    <w:rsid w:val="00B30FEC"/>
    <w:rsid w:val="00B3244C"/>
    <w:rsid w:val="00B36AF1"/>
    <w:rsid w:val="00B42F39"/>
    <w:rsid w:val="00B448A9"/>
    <w:rsid w:val="00B46705"/>
    <w:rsid w:val="00B56E35"/>
    <w:rsid w:val="00B60A54"/>
    <w:rsid w:val="00B6241D"/>
    <w:rsid w:val="00B63466"/>
    <w:rsid w:val="00B67154"/>
    <w:rsid w:val="00B67D26"/>
    <w:rsid w:val="00B72CAB"/>
    <w:rsid w:val="00B72DFE"/>
    <w:rsid w:val="00B73B6C"/>
    <w:rsid w:val="00B73E78"/>
    <w:rsid w:val="00B77419"/>
    <w:rsid w:val="00B81D10"/>
    <w:rsid w:val="00B820E0"/>
    <w:rsid w:val="00B83D52"/>
    <w:rsid w:val="00B83F96"/>
    <w:rsid w:val="00B859E4"/>
    <w:rsid w:val="00B873BD"/>
    <w:rsid w:val="00B93A66"/>
    <w:rsid w:val="00B94937"/>
    <w:rsid w:val="00B94F83"/>
    <w:rsid w:val="00BC35C6"/>
    <w:rsid w:val="00BC4031"/>
    <w:rsid w:val="00BC55B5"/>
    <w:rsid w:val="00BD4206"/>
    <w:rsid w:val="00BD5B7C"/>
    <w:rsid w:val="00BD6CD7"/>
    <w:rsid w:val="00BE49A9"/>
    <w:rsid w:val="00BF228A"/>
    <w:rsid w:val="00BF22AC"/>
    <w:rsid w:val="00BF252B"/>
    <w:rsid w:val="00BF4A6A"/>
    <w:rsid w:val="00BF4E26"/>
    <w:rsid w:val="00BF76CD"/>
    <w:rsid w:val="00BF78E2"/>
    <w:rsid w:val="00C02BBC"/>
    <w:rsid w:val="00C02EB0"/>
    <w:rsid w:val="00C04404"/>
    <w:rsid w:val="00C04FC7"/>
    <w:rsid w:val="00C06549"/>
    <w:rsid w:val="00C07BCB"/>
    <w:rsid w:val="00C120EE"/>
    <w:rsid w:val="00C1281B"/>
    <w:rsid w:val="00C13165"/>
    <w:rsid w:val="00C16DB9"/>
    <w:rsid w:val="00C26E36"/>
    <w:rsid w:val="00C274FA"/>
    <w:rsid w:val="00C276AA"/>
    <w:rsid w:val="00C30AB5"/>
    <w:rsid w:val="00C337A9"/>
    <w:rsid w:val="00C3535E"/>
    <w:rsid w:val="00C3563F"/>
    <w:rsid w:val="00C4259C"/>
    <w:rsid w:val="00C43CBE"/>
    <w:rsid w:val="00C4508A"/>
    <w:rsid w:val="00C46A97"/>
    <w:rsid w:val="00C47C37"/>
    <w:rsid w:val="00C55974"/>
    <w:rsid w:val="00C55C2F"/>
    <w:rsid w:val="00C57318"/>
    <w:rsid w:val="00C667F5"/>
    <w:rsid w:val="00C7534D"/>
    <w:rsid w:val="00C759A2"/>
    <w:rsid w:val="00C76424"/>
    <w:rsid w:val="00C76703"/>
    <w:rsid w:val="00C82BA2"/>
    <w:rsid w:val="00C841B4"/>
    <w:rsid w:val="00C84E97"/>
    <w:rsid w:val="00C869FF"/>
    <w:rsid w:val="00C9212C"/>
    <w:rsid w:val="00C94659"/>
    <w:rsid w:val="00C96444"/>
    <w:rsid w:val="00C978B1"/>
    <w:rsid w:val="00CB16FD"/>
    <w:rsid w:val="00CB2477"/>
    <w:rsid w:val="00CB59D3"/>
    <w:rsid w:val="00CC78E1"/>
    <w:rsid w:val="00CD2C5B"/>
    <w:rsid w:val="00CD3631"/>
    <w:rsid w:val="00CD3B5E"/>
    <w:rsid w:val="00CD54FD"/>
    <w:rsid w:val="00CD57C5"/>
    <w:rsid w:val="00CD7535"/>
    <w:rsid w:val="00CE2CC9"/>
    <w:rsid w:val="00CE5C8C"/>
    <w:rsid w:val="00CF5F95"/>
    <w:rsid w:val="00D05249"/>
    <w:rsid w:val="00D11BC5"/>
    <w:rsid w:val="00D133BD"/>
    <w:rsid w:val="00D17046"/>
    <w:rsid w:val="00D170E6"/>
    <w:rsid w:val="00D20465"/>
    <w:rsid w:val="00D24A25"/>
    <w:rsid w:val="00D26105"/>
    <w:rsid w:val="00D30655"/>
    <w:rsid w:val="00D3114C"/>
    <w:rsid w:val="00D31971"/>
    <w:rsid w:val="00D33570"/>
    <w:rsid w:val="00D33B57"/>
    <w:rsid w:val="00D367B3"/>
    <w:rsid w:val="00D40563"/>
    <w:rsid w:val="00D428C1"/>
    <w:rsid w:val="00D62B2F"/>
    <w:rsid w:val="00D64054"/>
    <w:rsid w:val="00D67BA9"/>
    <w:rsid w:val="00D7001B"/>
    <w:rsid w:val="00D71561"/>
    <w:rsid w:val="00D812AF"/>
    <w:rsid w:val="00D81B02"/>
    <w:rsid w:val="00D91257"/>
    <w:rsid w:val="00D94BE4"/>
    <w:rsid w:val="00DA1259"/>
    <w:rsid w:val="00DA2621"/>
    <w:rsid w:val="00DB0FB1"/>
    <w:rsid w:val="00DB3B59"/>
    <w:rsid w:val="00DC3115"/>
    <w:rsid w:val="00DC3C8F"/>
    <w:rsid w:val="00DD14D8"/>
    <w:rsid w:val="00DD6772"/>
    <w:rsid w:val="00DE7B97"/>
    <w:rsid w:val="00DF1C6B"/>
    <w:rsid w:val="00DF2276"/>
    <w:rsid w:val="00DF786E"/>
    <w:rsid w:val="00E248F9"/>
    <w:rsid w:val="00E26DA7"/>
    <w:rsid w:val="00E27324"/>
    <w:rsid w:val="00E310B9"/>
    <w:rsid w:val="00E31799"/>
    <w:rsid w:val="00E3225C"/>
    <w:rsid w:val="00E36BAB"/>
    <w:rsid w:val="00E41CB5"/>
    <w:rsid w:val="00E4533F"/>
    <w:rsid w:val="00E56806"/>
    <w:rsid w:val="00E57FEC"/>
    <w:rsid w:val="00E63A67"/>
    <w:rsid w:val="00E66346"/>
    <w:rsid w:val="00E66392"/>
    <w:rsid w:val="00E8033B"/>
    <w:rsid w:val="00E80EAA"/>
    <w:rsid w:val="00E83FB1"/>
    <w:rsid w:val="00E845CB"/>
    <w:rsid w:val="00E84E8A"/>
    <w:rsid w:val="00E9010E"/>
    <w:rsid w:val="00E92F5A"/>
    <w:rsid w:val="00E94E99"/>
    <w:rsid w:val="00E979AC"/>
    <w:rsid w:val="00EA1A51"/>
    <w:rsid w:val="00EB0299"/>
    <w:rsid w:val="00EB048D"/>
    <w:rsid w:val="00EB2802"/>
    <w:rsid w:val="00EC01F9"/>
    <w:rsid w:val="00EC635A"/>
    <w:rsid w:val="00ED4AFF"/>
    <w:rsid w:val="00EE0B25"/>
    <w:rsid w:val="00EE4A6F"/>
    <w:rsid w:val="00EE65D7"/>
    <w:rsid w:val="00EE6EBE"/>
    <w:rsid w:val="00EF0917"/>
    <w:rsid w:val="00EF3792"/>
    <w:rsid w:val="00EF7F22"/>
    <w:rsid w:val="00F0148B"/>
    <w:rsid w:val="00F0180E"/>
    <w:rsid w:val="00F05BCE"/>
    <w:rsid w:val="00F10306"/>
    <w:rsid w:val="00F131D4"/>
    <w:rsid w:val="00F154B8"/>
    <w:rsid w:val="00F1677F"/>
    <w:rsid w:val="00F205D5"/>
    <w:rsid w:val="00F22517"/>
    <w:rsid w:val="00F22942"/>
    <w:rsid w:val="00F30224"/>
    <w:rsid w:val="00F30F6B"/>
    <w:rsid w:val="00F34FE4"/>
    <w:rsid w:val="00F40C61"/>
    <w:rsid w:val="00F4538E"/>
    <w:rsid w:val="00F538AD"/>
    <w:rsid w:val="00F60DB8"/>
    <w:rsid w:val="00F6190C"/>
    <w:rsid w:val="00F62639"/>
    <w:rsid w:val="00F65C87"/>
    <w:rsid w:val="00F66366"/>
    <w:rsid w:val="00F745D2"/>
    <w:rsid w:val="00F75AA0"/>
    <w:rsid w:val="00F8310D"/>
    <w:rsid w:val="00F85877"/>
    <w:rsid w:val="00F859C0"/>
    <w:rsid w:val="00F85BE3"/>
    <w:rsid w:val="00F90655"/>
    <w:rsid w:val="00F92365"/>
    <w:rsid w:val="00F938AE"/>
    <w:rsid w:val="00F97D41"/>
    <w:rsid w:val="00FA01C8"/>
    <w:rsid w:val="00FA06C1"/>
    <w:rsid w:val="00FA14A1"/>
    <w:rsid w:val="00FB0479"/>
    <w:rsid w:val="00FB2D0F"/>
    <w:rsid w:val="00FB2D6E"/>
    <w:rsid w:val="00FC26B3"/>
    <w:rsid w:val="00FC6A81"/>
    <w:rsid w:val="00FC6D5E"/>
    <w:rsid w:val="00FC6E2E"/>
    <w:rsid w:val="00FD17F1"/>
    <w:rsid w:val="00FD214E"/>
    <w:rsid w:val="00FD7FC7"/>
    <w:rsid w:val="00FE3B48"/>
    <w:rsid w:val="00FE4914"/>
    <w:rsid w:val="00FE59E5"/>
    <w:rsid w:val="00FE6628"/>
    <w:rsid w:val="00FF04D3"/>
    <w:rsid w:val="00FF1A2E"/>
    <w:rsid w:val="00FF4200"/>
    <w:rsid w:val="00FF5818"/>
    <w:rsid w:val="00FF76D0"/>
    <w:rsid w:val="146604DC"/>
    <w:rsid w:val="190F36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7565515"/>
  <w15:chartTrackingRefBased/>
  <w15:docId w15:val="{2CD37F64-6B61-4E1F-A5F6-E28E982E2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afterLines="100" w:line="360" w:lineRule="auto"/>
      <w:outlineLvl w:val="0"/>
    </w:pPr>
    <w:rPr>
      <w:rFonts w:ascii="Times New Roman" w:hAnsi="Times New Roman"/>
      <w:b/>
      <w:kern w:val="44"/>
      <w:sz w:val="32"/>
      <w:szCs w:val="20"/>
    </w:rPr>
  </w:style>
  <w:style w:type="paragraph" w:styleId="2">
    <w:name w:val="heading 2"/>
    <w:basedOn w:val="a"/>
    <w:next w:val="a"/>
    <w:link w:val="20"/>
    <w:uiPriority w:val="9"/>
    <w:qFormat/>
    <w:pPr>
      <w:keepNext/>
      <w:keepLines/>
      <w:spacing w:before="260" w:after="260" w:line="416" w:lineRule="auto"/>
      <w:outlineLvl w:val="1"/>
    </w:pPr>
    <w:rPr>
      <w:rFonts w:ascii="Cambria" w:hAnsi="Cambria"/>
      <w:b/>
      <w:bCs/>
      <w:sz w:val="32"/>
      <w:szCs w:val="32"/>
    </w:rPr>
  </w:style>
  <w:style w:type="character" w:default="1" w:styleId="a0">
    <w:name w:val="Default Paragraph Font"/>
    <w:uiPriority w:val="1"/>
    <w:unhideWhenUsed/>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customStyle="1" w:styleId="10">
    <w:name w:val="标题 1 字符"/>
    <w:basedOn w:val="a0"/>
    <w:link w:val="1"/>
    <w:rPr>
      <w:rFonts w:ascii="Times New Roman" w:eastAsia="宋体" w:hAnsi="Times New Roman" w:cs="Times New Roman"/>
      <w:b/>
      <w:kern w:val="44"/>
      <w:sz w:val="32"/>
      <w:szCs w:val="20"/>
    </w:rPr>
  </w:style>
  <w:style w:type="character" w:styleId="a4">
    <w:name w:val="annotation reference"/>
    <w:basedOn w:val="a0"/>
    <w:uiPriority w:val="99"/>
    <w:unhideWhenUsed/>
    <w:rPr>
      <w:sz w:val="21"/>
      <w:szCs w:val="21"/>
    </w:rPr>
  </w:style>
  <w:style w:type="character" w:customStyle="1" w:styleId="a5">
    <w:name w:val="批注文字 字符"/>
    <w:basedOn w:val="a0"/>
    <w:link w:val="a6"/>
    <w:uiPriority w:val="99"/>
    <w:semiHidden/>
    <w:rPr>
      <w:kern w:val="2"/>
      <w:sz w:val="21"/>
      <w:szCs w:val="22"/>
    </w:rPr>
  </w:style>
  <w:style w:type="character" w:customStyle="1" w:styleId="a7">
    <w:name w:val="副标题 字符"/>
    <w:basedOn w:val="a0"/>
    <w:link w:val="a8"/>
    <w:uiPriority w:val="11"/>
    <w:rPr>
      <w:rFonts w:ascii="Cambria" w:eastAsia="宋体" w:hAnsi="Cambria" w:cs="Times New Roman"/>
      <w:i/>
      <w:iCs/>
      <w:color w:val="4F81BD"/>
      <w:spacing w:val="15"/>
      <w:kern w:val="0"/>
      <w:sz w:val="24"/>
      <w:szCs w:val="24"/>
    </w:rPr>
  </w:style>
  <w:style w:type="character" w:customStyle="1" w:styleId="HTML">
    <w:name w:val="HTML 预设格式 字符"/>
    <w:basedOn w:val="a0"/>
    <w:link w:val="HTML0"/>
    <w:rPr>
      <w:rFonts w:ascii="Arial" w:hAnsi="Arial" w:cs="Arial"/>
      <w:sz w:val="19"/>
      <w:szCs w:val="19"/>
    </w:rPr>
  </w:style>
  <w:style w:type="character" w:customStyle="1" w:styleId="21">
    <w:name w:val="正文文本缩进 2 字符"/>
    <w:basedOn w:val="a0"/>
    <w:link w:val="22"/>
    <w:rPr>
      <w:rFonts w:ascii="宋体" w:eastAsia="宋体" w:hAnsi="宋体" w:cs="Times New Roman"/>
      <w:color w:val="000080"/>
      <w:szCs w:val="20"/>
    </w:rPr>
  </w:style>
  <w:style w:type="character" w:customStyle="1" w:styleId="a9">
    <w:name w:val="页脚 字符"/>
    <w:basedOn w:val="a0"/>
    <w:link w:val="aa"/>
    <w:uiPriority w:val="99"/>
    <w:rPr>
      <w:sz w:val="18"/>
      <w:szCs w:val="18"/>
    </w:rPr>
  </w:style>
  <w:style w:type="character" w:customStyle="1" w:styleId="uet">
    <w:name w:val="ue_t"/>
    <w:basedOn w:val="a0"/>
  </w:style>
  <w:style w:type="character" w:customStyle="1" w:styleId="20">
    <w:name w:val="标题 2 字符"/>
    <w:basedOn w:val="a0"/>
    <w:link w:val="2"/>
    <w:uiPriority w:val="9"/>
    <w:rPr>
      <w:rFonts w:ascii="Cambria" w:eastAsia="宋体" w:hAnsi="Cambria" w:cs="Times New Roman"/>
      <w:b/>
      <w:bCs/>
      <w:sz w:val="32"/>
      <w:szCs w:val="32"/>
    </w:rPr>
  </w:style>
  <w:style w:type="character" w:customStyle="1" w:styleId="ab">
    <w:name w:val="无间隔 字符"/>
    <w:basedOn w:val="a0"/>
    <w:link w:val="ac"/>
    <w:uiPriority w:val="1"/>
    <w:rPr>
      <w:sz w:val="22"/>
      <w:szCs w:val="22"/>
      <w:lang w:val="en-US" w:eastAsia="zh-CN" w:bidi="ar-SA"/>
    </w:rPr>
  </w:style>
  <w:style w:type="character" w:customStyle="1" w:styleId="ad">
    <w:name w:val="页眉 字符"/>
    <w:basedOn w:val="a0"/>
    <w:link w:val="ae"/>
    <w:uiPriority w:val="99"/>
    <w:rPr>
      <w:sz w:val="18"/>
      <w:szCs w:val="18"/>
    </w:rPr>
  </w:style>
  <w:style w:type="character" w:customStyle="1" w:styleId="af">
    <w:name w:val="批注框文本 字符"/>
    <w:basedOn w:val="a0"/>
    <w:link w:val="af0"/>
    <w:uiPriority w:val="99"/>
    <w:semiHidden/>
    <w:rPr>
      <w:sz w:val="18"/>
      <w:szCs w:val="18"/>
    </w:rPr>
  </w:style>
  <w:style w:type="character" w:customStyle="1" w:styleId="af1">
    <w:name w:val="标题 字符"/>
    <w:basedOn w:val="a0"/>
    <w:link w:val="af2"/>
    <w:uiPriority w:val="10"/>
    <w:rPr>
      <w:rFonts w:ascii="Cambria" w:eastAsia="宋体" w:hAnsi="Cambria" w:cs="Times New Roman"/>
      <w:color w:val="17365D"/>
      <w:spacing w:val="5"/>
      <w:kern w:val="28"/>
      <w:sz w:val="52"/>
      <w:szCs w:val="52"/>
    </w:rPr>
  </w:style>
  <w:style w:type="paragraph" w:styleId="ae">
    <w:name w:val="header"/>
    <w:basedOn w:val="a"/>
    <w:link w:val="ad"/>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rPr>
      <w:rFonts w:ascii="Times New Roman" w:hAnsi="Times New Roman"/>
      <w:szCs w:val="20"/>
    </w:rPr>
  </w:style>
  <w:style w:type="paragraph" w:styleId="af0">
    <w:name w:val="Balloon Text"/>
    <w:basedOn w:val="a"/>
    <w:link w:val="af"/>
    <w:uiPriority w:val="99"/>
    <w:unhideWhenUsed/>
    <w:rPr>
      <w:sz w:val="18"/>
      <w:szCs w:val="18"/>
    </w:rPr>
  </w:style>
  <w:style w:type="paragraph" w:styleId="aa">
    <w:name w:val="footer"/>
    <w:basedOn w:val="a"/>
    <w:link w:val="a9"/>
    <w:uiPriority w:val="99"/>
    <w:unhideWhenUsed/>
    <w:pPr>
      <w:tabs>
        <w:tab w:val="center" w:pos="4153"/>
        <w:tab w:val="right" w:pos="8306"/>
      </w:tabs>
      <w:snapToGrid w:val="0"/>
      <w:jc w:val="left"/>
    </w:pPr>
    <w:rPr>
      <w:sz w:val="18"/>
      <w:szCs w:val="18"/>
    </w:rPr>
  </w:style>
  <w:style w:type="paragraph" w:styleId="a6">
    <w:name w:val="annotation text"/>
    <w:basedOn w:val="a"/>
    <w:link w:val="a5"/>
    <w:uiPriority w:val="99"/>
    <w:unhideWhenUsed/>
    <w:pPr>
      <w:jc w:val="left"/>
    </w:pPr>
  </w:style>
  <w:style w:type="paragraph" w:styleId="22">
    <w:name w:val="Body Text Indent 2"/>
    <w:basedOn w:val="a"/>
    <w:link w:val="21"/>
    <w:pPr>
      <w:spacing w:line="360" w:lineRule="auto"/>
      <w:ind w:left="788" w:hangingChars="375" w:hanging="788"/>
    </w:pPr>
    <w:rPr>
      <w:rFonts w:ascii="宋体" w:hAnsi="宋体"/>
      <w:color w:val="000080"/>
      <w:szCs w:val="20"/>
    </w:rPr>
  </w:style>
  <w:style w:type="paragraph" w:styleId="a8">
    <w:name w:val="Subtitle"/>
    <w:basedOn w:val="a"/>
    <w:next w:val="a"/>
    <w:link w:val="a7"/>
    <w:uiPriority w:val="11"/>
    <w:qFormat/>
    <w:pPr>
      <w:widowControl/>
      <w:spacing w:after="200" w:line="276" w:lineRule="auto"/>
      <w:jc w:val="left"/>
    </w:pPr>
    <w:rPr>
      <w:rFonts w:ascii="Cambria" w:hAnsi="Cambria"/>
      <w:i/>
      <w:iCs/>
      <w:color w:val="4F81BD"/>
      <w:spacing w:val="15"/>
      <w:kern w:val="0"/>
      <w:sz w:val="24"/>
      <w:szCs w:val="24"/>
    </w:rPr>
  </w:style>
  <w:style w:type="paragraph" w:styleId="TOC2">
    <w:name w:val="toc 2"/>
    <w:basedOn w:val="a"/>
    <w:next w:val="a"/>
    <w:uiPriority w:val="39"/>
    <w:unhideWhenUsed/>
    <w:pPr>
      <w:ind w:leftChars="200" w:left="420"/>
    </w:pPr>
  </w:style>
  <w:style w:type="paragraph" w:styleId="af3">
    <w:name w:val="Normal (Web)"/>
    <w:basedOn w:val="a"/>
    <w:unhideWhenUsed/>
    <w:pPr>
      <w:widowControl/>
      <w:spacing w:before="100" w:beforeAutospacing="1" w:after="100" w:afterAutospacing="1"/>
      <w:jc w:val="left"/>
    </w:pPr>
    <w:rPr>
      <w:rFonts w:ascii="宋体" w:hAnsi="宋体" w:cs="宋体"/>
      <w:kern w:val="0"/>
      <w:sz w:val="24"/>
      <w:szCs w:val="24"/>
    </w:rPr>
  </w:style>
  <w:style w:type="paragraph" w:styleId="HTML0">
    <w:name w:val="HTML Preformatted"/>
    <w:basedOn w:val="a"/>
    <w:link w:val="HTML"/>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99" w:lineRule="atLeast"/>
      <w:jc w:val="left"/>
    </w:pPr>
    <w:rPr>
      <w:rFonts w:ascii="Arial" w:hAnsi="Arial" w:cs="Arial"/>
      <w:kern w:val="0"/>
      <w:sz w:val="19"/>
      <w:szCs w:val="19"/>
    </w:rPr>
  </w:style>
  <w:style w:type="paragraph" w:styleId="af2">
    <w:name w:val="Title"/>
    <w:basedOn w:val="a"/>
    <w:next w:val="a"/>
    <w:link w:val="af1"/>
    <w:uiPriority w:val="10"/>
    <w:qFormat/>
    <w:pPr>
      <w:widowControl/>
      <w:pBdr>
        <w:bottom w:val="single" w:sz="8" w:space="4" w:color="4F81BD"/>
      </w:pBdr>
      <w:spacing w:after="300"/>
      <w:contextualSpacing/>
      <w:jc w:val="left"/>
    </w:pPr>
    <w:rPr>
      <w:rFonts w:ascii="Cambria" w:hAnsi="Cambria"/>
      <w:color w:val="17365D"/>
      <w:spacing w:val="5"/>
      <w:kern w:val="28"/>
      <w:sz w:val="52"/>
      <w:szCs w:val="52"/>
    </w:rPr>
  </w:style>
  <w:style w:type="paragraph" w:styleId="af4">
    <w:name w:val="List Paragraph"/>
    <w:basedOn w:val="a"/>
    <w:uiPriority w:val="34"/>
    <w:qFormat/>
    <w:pPr>
      <w:ind w:firstLineChars="200" w:firstLine="420"/>
    </w:pPr>
  </w:style>
  <w:style w:type="paragraph" w:styleId="ac">
    <w:name w:val="No Spacing"/>
    <w:link w:val="ab"/>
    <w:uiPriority w:val="1"/>
    <w:qFormat/>
    <w:rPr>
      <w:sz w:val="22"/>
      <w:szCs w:val="22"/>
    </w:rPr>
  </w:style>
  <w:style w:type="paragraph" w:customStyle="1" w:styleId="p0">
    <w:name w:val="p0"/>
    <w:basedOn w:val="a"/>
    <w:pPr>
      <w:widowControl/>
    </w:pPr>
    <w:rPr>
      <w:rFonts w:ascii="Times New Roman" w:hAnsi="Times New Roman"/>
      <w:kern w:val="0"/>
      <w:szCs w:val="21"/>
    </w:rPr>
  </w:style>
  <w:style w:type="table" w:styleId="af5">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zxwh.com/Shop/ShowClass.asp?ClassID=72"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819</Words>
  <Characters>4672</Characters>
  <Application>Microsoft Office Word</Application>
  <DocSecurity>4</DocSecurity>
  <PresentationFormat/>
  <Lines>38</Lines>
  <Paragraphs>10</Paragraphs>
  <Slides>0</Slides>
  <Notes>0</Notes>
  <HiddenSlides>0</HiddenSlides>
  <MMClips>0</MMClips>
  <ScaleCrop>false</ScaleCrop>
  <Manager/>
  <Company>微软中国</Company>
  <LinksUpToDate>false</LinksUpToDate>
  <CharactersWithSpaces>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张国亮：tmszgl</dc:creator>
  <cp:keywords/>
  <dc:description/>
  <cp:lastModifiedBy>Administrator</cp:lastModifiedBy>
  <cp:revision>2</cp:revision>
  <dcterms:created xsi:type="dcterms:W3CDTF">2026-04-05T07:27:00Z</dcterms:created>
  <dcterms:modified xsi:type="dcterms:W3CDTF">2026-04-05T07:27:00Z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