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5869" w:rsidRDefault="00E3586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买卖合同</w:t>
      </w:r>
      <w:r>
        <w:rPr>
          <w:rFonts w:ascii="黑体" w:eastAsia="黑体" w:hint="eastAsia"/>
          <w:kern w:val="0"/>
          <w:sz w:val="48"/>
          <w:szCs w:val="20"/>
          <w:lang w:val="zh-CN"/>
        </w:rPr>
        <w:t>（五）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销货方：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购货方：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　经购销双方协商交易活动，必须履行本合同条款。具体品类（种），需签订要货成交单，并作为本购销合同的附件；本合同中的未尽事宜经双方协商需补充的条款可另附协议书，亦视为合同附件。合同附件与本合同具有同等效力。经双方确认的往来信函、传真、电子邮件等，将作为本合同的组成部分，具有合同的效力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签订成交单，除上级规定按计划分配成交外，其余商品一律采取自由选购，看样成交的方式。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　合同签订后，不得擅自变更和解除。如甲方遇不可抗拒的原因，确实无法履行合同；乙方因市场发生骤变或不能防止的原因，经双方协商同意后，可予变更或解除合同。但提出方应提前通知对方，并将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合同变更通知单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寄给对方，办理变更或解除合同的手续。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按乙方指定花色、品种、规格生产的商品，在安排生产后，双方都需严格执行合同。如需变更，由此而产生的损失，乙方负担；如甲方不能按期、按质、按量按指定要求履行合同，其损失，甲方负担。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　成交单中的商品价格，由双方当事人商议决定，或以国家定价决定。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在签订合同时，确定价格有困难，可以暂定价格成交，上下幅度双方商定。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国家定价的商品，在合同规定的交（提）货期限内，如遇国家或地方行政部门调整价格，按交货（指运出）时的价格执行。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逾期交货的，如遇价格上调时，按原价执行；遇价格下调时，按新价执行。逾期提货的，遇价格上调时，按新价执行，遇价格下调时，按原价执行。由于调整价格而发生的差价，购销双方另行结算。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　运输方式及运输费用等费用，由双方当事人协商决定。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　各类商品质量标准，甲方严格执行合同规定的质量标准，保证商品质量。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　商品包装，必须牢固，甲方应保障商品在运输途中的安全。乙方对商品包装有特殊要求，双方应具体合同中注明，增加的包装费用，由乙方负担。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　商品调拨，应做到均衡、及时。对合同期内的商品可考虑按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的比例分批发货；季节性商品按承运部门所规定的最迟、最早日期一次发货；当令商品，零配件和数量较少的品种，可一次发货。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　对有有效期限的商品，其有效期在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／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以上的，甲方可以发货；有效期在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／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以下的，甲方应征得乙方同意后才能发货。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　甲方应按乙方确定的合理运输路线、工具、到达站（港）委托承运单位发运，力求装足容量或吨位，以节约费用。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如一方需要变更运输路线、工具、到达站时，应及时通知对方，并进行协商，取得一致意见后，再办理发运，由此而影响合同期限，不以违约处理。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　商品从到达承运部门时起，所有权即属乙方。在运输途中发生的丢失、缺少、残损等责任事故，由乙方负责向承运部门交涉赔偿，需要甲方协助时，甲方应积极提供有关资料。乙方在接收商品时发现问题，应及时向承运部门索取规定的记录和证明并立即详细检查，及时向有关责任方提出索赔；若因有关单据未能随货同行，货到后，乙方可先向承运部门具结接收，同时立即通知甲方，甲方在接到通知后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日内答复；属于多发、错运商品，乙方应做好详细记录，妥为保管，收货后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日内通知甲方，不能自行动用，因此而发生的一切费用由甲方负担。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第十一条　商品的外包装完整，发现溢缺、残损串错和商品质量等问题，在货到半年内（贵重商品在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天内），责任确属甲方的，乙方可向甲方提出查询。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发现商品霉烂变质，应在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天内通知甲方，经双方共同研究，明确责任，损失由责任方负担。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接收进口商品和外贸库存转内销的商品，因关系到外贸查询，查询期为乙方收货后的</w:t>
      </w:r>
      <w:r>
        <w:rPr>
          <w:rFonts w:ascii="宋体"/>
          <w:kern w:val="0"/>
          <w:sz w:val="24"/>
          <w:szCs w:val="20"/>
          <w:lang w:val="zh-CN"/>
        </w:rPr>
        <w:t>60</w:t>
      </w:r>
      <w:r>
        <w:rPr>
          <w:rFonts w:ascii="宋体" w:hint="eastAsia"/>
          <w:kern w:val="0"/>
          <w:sz w:val="24"/>
          <w:szCs w:val="20"/>
          <w:lang w:val="zh-CN"/>
        </w:rPr>
        <w:t>天，逾期甲方不再受理。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乙方向甲方提出查询时，应填写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查询单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，一货一单，不要混列。查询单的内容应包括唛头、品名、规格、单价、装箱单、开单日期、到货日期、溢缺数量、残损程度、合同号码、生产厂名、调拨单号等资料，并保留实物；甲方接到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查询单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后，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日内作出答复，要在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天内处理完毕。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为减少部分查询业务，凡一张调拨单所列一个品种损溢在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元以下、残损在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元以下均不做查询处理（零件除外）。对笨重商品的查询（如缝纫机头、部件等的残品）乙方将残品直接寄运工厂，查询单寄交甲方并在单上注明寄运日期。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第十二条　商品货款、运杂费等款项的结算，购销双方应按中国人民银行结算办法的规定，商定适宜的结算方式，及时妥善办理。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货款结算中，要遵守结算纪律，坚持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钱货两清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原则，分期付款应在成交单上注明。有固定购销关系的国营、供销合作社商业企业，异地货款结算可采用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托收承付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结算方式；对情况不明的交易单位，可采用信用证结算方式，或先收款后付货。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第十三条　甲、乙双方的任何一方有违约行为的，应负违约责任并向对方支付违约金。因违约使对方遭受损失的，如违约金不足以抵补损失时，还应支付赔偿金以补偿其差额。如违约金过分高于或者低于造成的损失的，当事人可以请求人民法院或者仲裁机构予以适当减少或者增加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甲、乙两方所签订的具体合同要求，一方未能履行或未能完全履行合同时，应向对方支付违约合同货款总值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％的违约金。但遇双方协商办理变更或解除合同手续的，不按违约处理。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自提商品，甲方未能按期发货，应负逾期交货责任，并承担乙方因此而支付的实际费用；乙方未按期提货，应按中国人民银行有关延期付款的规定，按逾期提货部分货款总值计算，向甲方偿付逾期提货的违约金，并承担甲方实际支付的保管费用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甲方提前交货和多交、错发货而造成的乙方在代保管期内实际支付的费用，应由甲方负担，乙方逾期付款的，应按照人民银行有关逾期付款的规定，向甲方偿付逾期付款违约金。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</w:t>
      </w:r>
      <w:r>
        <w:rPr>
          <w:rFonts w:ascii="宋体" w:hint="eastAsia"/>
          <w:kern w:val="0"/>
          <w:sz w:val="24"/>
          <w:szCs w:val="20"/>
          <w:lang w:val="zh-CN"/>
        </w:rPr>
        <w:t>对应偿付的违约金，赔偿金，保管、保养费用和各种经济损失，应在明确责任后，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天内主动汇给对方，否则，按逾期付款处理，但任何一方不得自行用扣发货物或扣付货款充抵。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第十四条　甲、乙两方履行合同，发生纠纷时，应及时协商解决，协商不成时，任何一方均可向仲裁机构申请仲裁或向人民法院起诉。（两者选一）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第十五条　本合同一式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份，甲、乙两方各执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份，并送交当地人民银行及有关部门，监督执行。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第十六条　本合同（协议）双方签章，依法生效，有效期为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年，期满双方如无异议，合同自动延长。凡涉及日期的，按收件人签收日期和邮局戳记日期为准。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销货方（甲方）签章：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购货方（乙方）签章：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E35869" w:rsidRDefault="00E35869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E3586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869" w:rsidRDefault="00E35869" w:rsidP="00810302">
      <w:r>
        <w:separator/>
      </w:r>
    </w:p>
  </w:endnote>
  <w:endnote w:type="continuationSeparator" w:id="0">
    <w:p w:rsidR="00E35869" w:rsidRDefault="00E35869" w:rsidP="00810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869" w:rsidRDefault="00E35869" w:rsidP="00810302">
      <w:r>
        <w:separator/>
      </w:r>
    </w:p>
  </w:footnote>
  <w:footnote w:type="continuationSeparator" w:id="0">
    <w:p w:rsidR="00E35869" w:rsidRDefault="00E35869" w:rsidP="008103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68350488">
    <w:abstractNumId w:val="8"/>
  </w:num>
  <w:num w:numId="2" w16cid:durableId="923150475">
    <w:abstractNumId w:val="3"/>
  </w:num>
  <w:num w:numId="3" w16cid:durableId="203716792">
    <w:abstractNumId w:val="2"/>
  </w:num>
  <w:num w:numId="4" w16cid:durableId="1979723346">
    <w:abstractNumId w:val="1"/>
  </w:num>
  <w:num w:numId="5" w16cid:durableId="906842566">
    <w:abstractNumId w:val="0"/>
  </w:num>
  <w:num w:numId="6" w16cid:durableId="1592663619">
    <w:abstractNumId w:val="9"/>
  </w:num>
  <w:num w:numId="7" w16cid:durableId="359091770">
    <w:abstractNumId w:val="7"/>
  </w:num>
  <w:num w:numId="8" w16cid:durableId="1423838186">
    <w:abstractNumId w:val="6"/>
  </w:num>
  <w:num w:numId="9" w16cid:durableId="817915954">
    <w:abstractNumId w:val="5"/>
  </w:num>
  <w:num w:numId="10" w16cid:durableId="310523076">
    <w:abstractNumId w:val="4"/>
  </w:num>
  <w:num w:numId="11" w16cid:durableId="197132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A80"/>
    <w:rsid w:val="000F6A80"/>
    <w:rsid w:val="00810302"/>
    <w:rsid w:val="00E3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D3C7D87-DECE-4665-9B40-6F09183D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103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1030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103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1030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2782</Characters>
  <Application>Microsoft Office Word</Application>
  <DocSecurity>4</DocSecurity>
  <Lines>23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