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7578" w:rsidRDefault="00CD7578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8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8"/>
          <w:szCs w:val="20"/>
          <w:lang w:val="zh-CN"/>
        </w:rPr>
        <w:t>国际民间贸易协议书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卖方：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国法定地址、电话、传真、法人代表、职务）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国法定地址、电话、传真、法人代表、职务）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双方协商一致，同意并达成如下贸易协议，共同遵守：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本合同所列条款，包括了双方达成的全部协议，并取代在此以前双方所达成的一切协议。除双方授权主管人或代表同意书入本合同的条款外，其余一律无效。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买方须由卖方承认的银行，开出不可撤消的、无追索权的、保兑的、可转让的、可分割的、允许转船和分批装运，以卖方为受益人的见票即付信用证。信用证有效期为末批货物从装运港启运后</w:t>
      </w:r>
      <w:r>
        <w:rPr>
          <w:rFonts w:ascii="宋体"/>
          <w:kern w:val="0"/>
          <w:sz w:val="24"/>
          <w:szCs w:val="20"/>
          <w:lang w:val="zh-CN"/>
        </w:rPr>
        <w:t>45</w:t>
      </w:r>
      <w:r>
        <w:rPr>
          <w:rFonts w:ascii="宋体" w:hint="eastAsia"/>
          <w:kern w:val="0"/>
          <w:sz w:val="24"/>
          <w:szCs w:val="20"/>
          <w:lang w:val="zh-CN"/>
        </w:rPr>
        <w:t>天。信用证承兑费用由买方支付。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卖方须向议付行提交下列单据：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整套清洁海运提单一式两份；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发票一式四份；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由商品检验局出具的质量证书一式两份；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由商品检验局出具的数量</w:t>
      </w:r>
      <w:r>
        <w:rPr>
          <w:rFonts w:ascii="宋体" w:hint="eastAsia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重量检验报告一式两份。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允许的溢短装数量为相当于信用证总金额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的货物数量。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交货：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交货期为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装运港</w:t>
      </w:r>
      <w:r>
        <w:rPr>
          <w:rFonts w:ascii="宋体"/>
          <w:kern w:val="0"/>
          <w:sz w:val="24"/>
          <w:szCs w:val="20"/>
          <w:lang w:val="zh-CN"/>
        </w:rPr>
        <w:t>____________________ .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装运条件：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应卖方之要求，买方于每批货物装运前</w:t>
      </w:r>
      <w:r>
        <w:rPr>
          <w:rFonts w:ascii="宋体"/>
          <w:kern w:val="0"/>
          <w:sz w:val="24"/>
          <w:szCs w:val="20"/>
          <w:lang w:val="zh-CN"/>
        </w:rPr>
        <w:t>20</w:t>
      </w:r>
      <w:r>
        <w:rPr>
          <w:rFonts w:ascii="宋体" w:hint="eastAsia"/>
          <w:kern w:val="0"/>
          <w:sz w:val="24"/>
          <w:szCs w:val="20"/>
          <w:lang w:val="zh-CN"/>
        </w:rPr>
        <w:t>天，将船名、船籍、预计抵达装运港日期和载重吨位等以书信告知卖方；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买方可指定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远洋运输代理公司作为其船运代理，并负责支付港口所有费用。买方应分别于船到达装运港前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天、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天、</w:t>
      </w:r>
      <w:r>
        <w:rPr>
          <w:rFonts w:ascii="宋体"/>
          <w:kern w:val="0"/>
          <w:sz w:val="24"/>
          <w:szCs w:val="20"/>
          <w:lang w:val="zh-CN"/>
        </w:rPr>
        <w:t>72</w:t>
      </w:r>
      <w:r>
        <w:rPr>
          <w:rFonts w:ascii="宋体" w:hint="eastAsia"/>
          <w:kern w:val="0"/>
          <w:sz w:val="24"/>
          <w:szCs w:val="20"/>
          <w:lang w:val="zh-CN"/>
        </w:rPr>
        <w:t>小时、</w:t>
      </w:r>
      <w:r>
        <w:rPr>
          <w:rFonts w:ascii="宋体"/>
          <w:kern w:val="0"/>
          <w:sz w:val="24"/>
          <w:szCs w:val="20"/>
          <w:lang w:val="zh-CN"/>
        </w:rPr>
        <w:t>24</w:t>
      </w:r>
      <w:r>
        <w:rPr>
          <w:rFonts w:ascii="宋体" w:hint="eastAsia"/>
          <w:kern w:val="0"/>
          <w:sz w:val="24"/>
          <w:szCs w:val="20"/>
          <w:lang w:val="zh-CN"/>
        </w:rPr>
        <w:t>小时，把船到达装运港的预计日期和时间，以及船到达装运港时，该船的吃水量以电报告知其代理；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/>
          <w:kern w:val="0"/>
          <w:sz w:val="24"/>
          <w:szCs w:val="20"/>
          <w:lang w:val="zh-CN"/>
        </w:rPr>
        <w:t>.</w:t>
      </w:r>
      <w:r>
        <w:rPr>
          <w:rFonts w:ascii="宋体" w:hint="eastAsia"/>
          <w:kern w:val="0"/>
          <w:sz w:val="24"/>
          <w:szCs w:val="20"/>
          <w:lang w:val="zh-CN"/>
        </w:rPr>
        <w:t>买方应在船达装运港前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天，将该船的详细情况，包括船名、船籍、预达日期、船长和船员之国籍、呼号、载重吨位、吃水、总长及按国际海运惯例所需的其他资料，以电报告知其代理；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买方应将租船方出具的租船单一份尽快提交给卖方。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货物装船后，凡发生货物短缺、损坏、变质，其风险均由买方承担。货物之投保由买方自理。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买方应通过银行及时向卖方提供履约定金，金额为合同总值的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，有效期为末批货物自装运港启运后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天。此定金作为买方部分违约但尚未涉及全部协议的违约罚金。买方不按第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条开出不可撤消的信用证时，卖方有权立即终止合同，没收上述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定金并写信给买方告知理由。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买方须按本合同第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条所规定的日期前开立本批交易信用证，否则，卖方有权不经通知取消本合同，并对由此而遭受的损失提出索赔。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适用规则和章程：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装运条款：见清单</w:t>
      </w:r>
      <w:r>
        <w:rPr>
          <w:rFonts w:ascii="宋体"/>
          <w:kern w:val="0"/>
          <w:sz w:val="24"/>
          <w:szCs w:val="20"/>
          <w:lang w:val="zh-CN"/>
        </w:rPr>
        <w:t>B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外轮在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港速遣费和滞期费收取规定，见清单</w:t>
      </w:r>
      <w:r>
        <w:rPr>
          <w:rFonts w:ascii="宋体"/>
          <w:kern w:val="0"/>
          <w:sz w:val="24"/>
          <w:szCs w:val="20"/>
          <w:lang w:val="zh-CN"/>
        </w:rPr>
        <w:t>C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滞期费率／速遣费率以及装卸结算法则刊行于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应遵照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颁布之规则予以办理。所有费用均由买方承担。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除保险公司和船方应承担的索赔外，凡涉及货物质量、数量和重量等争执，双方应通过协商予以解决。如果协商不能解决，则提交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商检局或其下属单位进行裁决，裁决是终局的，对双方均有约束力，任何一方均无权上诉。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卖方因无法控制之因素，诸如不可抗力、政变、罢工、禁运、解雇等造成合同货物推迟交货或妨碍交货，卖方不承担责任。但卖方按买方之要求，应向买方挂号邮寄由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出具的证书，如有可能，也可提交由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某一主管部门出具的证书。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凡涉及本合同或因执行本合同所发生的一切争执，双方通过协商解决。如协商不能解决，可提交被告国家仲裁机构根据该国仲裁规则和程序进行仲裁，仲裁裁决是终局的，对双方都有约束力。仲裁费用除该仲裁机构另有判定外，则由败诉方负责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本合同一式两份，用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文签署，经买、卖双方代表签字后生效。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清单</w:t>
      </w:r>
      <w:r>
        <w:rPr>
          <w:rFonts w:ascii="宋体"/>
          <w:kern w:val="0"/>
          <w:sz w:val="24"/>
          <w:szCs w:val="20"/>
          <w:lang w:val="zh-CN"/>
        </w:rPr>
        <w:t>A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物品名：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货物规格：</w:t>
      </w:r>
      <w:r>
        <w:rPr>
          <w:rFonts w:ascii="宋体"/>
          <w:kern w:val="0"/>
          <w:sz w:val="24"/>
          <w:szCs w:val="20"/>
          <w:lang w:val="zh-CN"/>
        </w:rPr>
        <w:t>________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数量：（由卖方定，买方同意溢短装总数之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％）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单价：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总值：</w:t>
      </w:r>
      <w:r>
        <w:rPr>
          <w:rFonts w:ascii="宋体"/>
          <w:kern w:val="0"/>
          <w:sz w:val="24"/>
          <w:szCs w:val="20"/>
          <w:lang w:val="zh-CN"/>
        </w:rPr>
        <w:t>U.S.D________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（每公吨价为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总值按实际交货数量而定）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包装：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清单</w:t>
      </w:r>
      <w:r>
        <w:rPr>
          <w:rFonts w:ascii="宋体"/>
          <w:kern w:val="0"/>
          <w:sz w:val="24"/>
          <w:szCs w:val="20"/>
          <w:lang w:val="zh-CN"/>
        </w:rPr>
        <w:t>B</w:t>
      </w:r>
      <w:r>
        <w:rPr>
          <w:rFonts w:ascii="宋体" w:hint="eastAsia"/>
          <w:kern w:val="0"/>
          <w:sz w:val="24"/>
          <w:szCs w:val="20"/>
          <w:lang w:val="zh-CN"/>
        </w:rPr>
        <w:t>：装运条款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合同规定的每批交货日前</w:t>
      </w:r>
      <w:r>
        <w:rPr>
          <w:rFonts w:ascii="宋体"/>
          <w:kern w:val="0"/>
          <w:sz w:val="24"/>
          <w:szCs w:val="20"/>
          <w:lang w:val="zh-CN"/>
        </w:rPr>
        <w:t>20</w:t>
      </w:r>
      <w:r>
        <w:rPr>
          <w:rFonts w:ascii="宋体" w:hint="eastAsia"/>
          <w:kern w:val="0"/>
          <w:sz w:val="24"/>
          <w:szCs w:val="20"/>
          <w:lang w:val="zh-CN"/>
        </w:rPr>
        <w:t>天，卖方应将合同号、数量、预定交货期写信告诉买方，以便买方租船订舱。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每批货物装运前</w:t>
      </w:r>
      <w:r>
        <w:rPr>
          <w:rFonts w:ascii="宋体"/>
          <w:kern w:val="0"/>
          <w:sz w:val="24"/>
          <w:szCs w:val="20"/>
          <w:lang w:val="zh-CN"/>
        </w:rPr>
        <w:t>15</w:t>
      </w:r>
      <w:r>
        <w:rPr>
          <w:rFonts w:ascii="宋体" w:hint="eastAsia"/>
          <w:kern w:val="0"/>
          <w:sz w:val="24"/>
          <w:szCs w:val="20"/>
          <w:lang w:val="zh-CN"/>
        </w:rPr>
        <w:t>天，买方应将：船名、船籍、抵港日期、合同号、载重吨位等须经卖方认可的项目以信件告知卖方，以便买方安排交货。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买方将委托装运港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远洋运输公司作为其海运代理，买方承担一切费用，买方将通过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获得该船进出装运港口的所有签证。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买方须于船抵装运港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天之前，将该船详情以信件告知卖方（包括船名、船籍、船员人数、船员国籍、呼号、载重、吃水和总长等）。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船达装运港，卖方不能及时装货，由此而引起的空舱费和滞期费则由卖方承担。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若</w:t>
      </w:r>
      <w:r>
        <w:rPr>
          <w:rFonts w:ascii="宋体"/>
          <w:kern w:val="0"/>
          <w:sz w:val="24"/>
          <w:szCs w:val="20"/>
          <w:lang w:val="zh-CN"/>
        </w:rPr>
        <w:t>15</w:t>
      </w:r>
      <w:r>
        <w:rPr>
          <w:rFonts w:ascii="宋体" w:hint="eastAsia"/>
          <w:kern w:val="0"/>
          <w:sz w:val="24"/>
          <w:szCs w:val="20"/>
          <w:lang w:val="zh-CN"/>
        </w:rPr>
        <w:t>天装运期满而船未达装运港，则自</w:t>
      </w:r>
      <w:r>
        <w:rPr>
          <w:rFonts w:ascii="宋体"/>
          <w:kern w:val="0"/>
          <w:sz w:val="24"/>
          <w:szCs w:val="20"/>
          <w:lang w:val="zh-CN"/>
        </w:rPr>
        <w:t>16</w:t>
      </w:r>
      <w:r>
        <w:rPr>
          <w:rFonts w:ascii="宋体" w:hint="eastAsia"/>
          <w:kern w:val="0"/>
          <w:sz w:val="24"/>
          <w:szCs w:val="20"/>
          <w:lang w:val="zh-CN"/>
        </w:rPr>
        <w:t>天起的仓储费和滞期费由买方承担。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卖方保证一个工作日连续</w:t>
      </w:r>
      <w:r>
        <w:rPr>
          <w:rFonts w:ascii="宋体"/>
          <w:kern w:val="0"/>
          <w:sz w:val="24"/>
          <w:szCs w:val="20"/>
          <w:lang w:val="zh-CN"/>
        </w:rPr>
        <w:t>24</w:t>
      </w:r>
      <w:r>
        <w:rPr>
          <w:rFonts w:ascii="宋体" w:hint="eastAsia"/>
          <w:kern w:val="0"/>
          <w:sz w:val="24"/>
          <w:szCs w:val="20"/>
          <w:lang w:val="zh-CN"/>
        </w:rPr>
        <w:t>小时每个舱口的装货率为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公吨，滞留期</w:t>
      </w:r>
      <w:r>
        <w:rPr>
          <w:rFonts w:ascii="宋体" w:hint="eastAsia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速遣期按附件</w:t>
      </w:r>
      <w:r>
        <w:rPr>
          <w:rFonts w:ascii="宋体"/>
          <w:kern w:val="0"/>
          <w:sz w:val="24"/>
          <w:szCs w:val="20"/>
          <w:lang w:val="zh-CN"/>
        </w:rPr>
        <w:t>C</w:t>
      </w:r>
      <w:r>
        <w:rPr>
          <w:rFonts w:ascii="宋体" w:hint="eastAsia"/>
          <w:kern w:val="0"/>
          <w:sz w:val="24"/>
          <w:szCs w:val="20"/>
          <w:lang w:val="zh-CN"/>
        </w:rPr>
        <w:t>之规定计算，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远洋运输公司按外轮停靠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港的有关速遣费和滞留费计算暂行规定，与买方直接进行结算。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货装完毕，卖方将合同号、品名、数量、载运船名和启航日期以信件告知买方。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清单</w:t>
      </w:r>
      <w:r>
        <w:rPr>
          <w:rFonts w:ascii="宋体"/>
          <w:kern w:val="0"/>
          <w:sz w:val="24"/>
          <w:szCs w:val="20"/>
          <w:lang w:val="zh-CN"/>
        </w:rPr>
        <w:t>C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外轮停靠</w:t>
      </w:r>
      <w:r>
        <w:rPr>
          <w:rFonts w:ascii="宋体"/>
          <w:kern w:val="0"/>
          <w:sz w:val="24"/>
          <w:szCs w:val="20"/>
          <w:lang w:val="zh-CN"/>
        </w:rPr>
        <w:t xml:space="preserve">________ </w:t>
      </w:r>
      <w:r>
        <w:rPr>
          <w:rFonts w:ascii="宋体" w:hint="eastAsia"/>
          <w:kern w:val="0"/>
          <w:sz w:val="24"/>
          <w:szCs w:val="20"/>
          <w:lang w:val="zh-CN"/>
        </w:rPr>
        <w:t>港装卸有关速遣费和滞期费计算规定（附件略）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签字：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D7578" w:rsidRDefault="00CD7578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乙方代表：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签字：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CD757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7578" w:rsidRDefault="00CD7578" w:rsidP="00562EC6">
      <w:r>
        <w:separator/>
      </w:r>
    </w:p>
  </w:endnote>
  <w:endnote w:type="continuationSeparator" w:id="0">
    <w:p w:rsidR="00CD7578" w:rsidRDefault="00CD7578" w:rsidP="00562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7578" w:rsidRDefault="00CD7578" w:rsidP="00562EC6">
      <w:r>
        <w:separator/>
      </w:r>
    </w:p>
  </w:footnote>
  <w:footnote w:type="continuationSeparator" w:id="0">
    <w:p w:rsidR="00CD7578" w:rsidRDefault="00CD7578" w:rsidP="00562E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820681900">
    <w:abstractNumId w:val="8"/>
  </w:num>
  <w:num w:numId="2" w16cid:durableId="367295495">
    <w:abstractNumId w:val="3"/>
  </w:num>
  <w:num w:numId="3" w16cid:durableId="1582056063">
    <w:abstractNumId w:val="2"/>
  </w:num>
  <w:num w:numId="4" w16cid:durableId="1416320751">
    <w:abstractNumId w:val="1"/>
  </w:num>
  <w:num w:numId="5" w16cid:durableId="1683823941">
    <w:abstractNumId w:val="0"/>
  </w:num>
  <w:num w:numId="6" w16cid:durableId="626590752">
    <w:abstractNumId w:val="9"/>
  </w:num>
  <w:num w:numId="7" w16cid:durableId="1993830986">
    <w:abstractNumId w:val="7"/>
  </w:num>
  <w:num w:numId="8" w16cid:durableId="1357464836">
    <w:abstractNumId w:val="6"/>
  </w:num>
  <w:num w:numId="9" w16cid:durableId="1993436906">
    <w:abstractNumId w:val="5"/>
  </w:num>
  <w:num w:numId="10" w16cid:durableId="1154489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722A"/>
    <w:rsid w:val="004C722A"/>
    <w:rsid w:val="00562EC6"/>
    <w:rsid w:val="00CD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3EA16900-0B59-4CB6-BA3B-96D40521A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header"/>
    <w:basedOn w:val="a"/>
    <w:link w:val="a5"/>
    <w:uiPriority w:val="99"/>
    <w:unhideWhenUsed/>
    <w:rsid w:val="00562E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2EC6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2E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2EC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379</Words>
  <Characters>2165</Characters>
  <Application>Microsoft Office Word</Application>
  <DocSecurity>4</DocSecurity>
  <Lines>18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