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5E8A0" w14:textId="77777777" w:rsidR="00917B24" w:rsidRDefault="00917B24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8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8"/>
          <w:szCs w:val="20"/>
          <w:lang w:val="zh-CN"/>
        </w:rPr>
        <w:t>水泥购销合同</w:t>
      </w:r>
    </w:p>
    <w:p w14:paraId="7B9A1511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27304C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74CF04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甲方（购方）：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14:paraId="1736AC84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84F230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324BD1B0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B813E6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2DE0128E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34ADAD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乙方（销方）：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14:paraId="67F78263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52072E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/>
          <w:kern w:val="0"/>
          <w:sz w:val="24"/>
          <w:szCs w:val="20"/>
          <w:lang w:val="zh-CN"/>
        </w:rPr>
        <w:t xml:space="preserve">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6EEA22CF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465AC2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51148C2F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52BA66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经双方协定一致，签订水泥购销合同条款如下：</w:t>
      </w:r>
    </w:p>
    <w:p w14:paraId="2CC58DEF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E2CA1D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一、数量、计量单位、单价、金额</w:t>
      </w:r>
    </w:p>
    <w:p w14:paraId="64708E87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18C2A2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二、质量标准：水泥标号执行国家规定标准。由乙方按批向甲方交送水泥出厂质量通知单。甲方凭单验质。</w:t>
      </w:r>
    </w:p>
    <w:p w14:paraId="49EFA8C7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2AB1AA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三、袋重合格率达到国家规范。</w:t>
      </w:r>
    </w:p>
    <w:p w14:paraId="22EE724B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A36F2E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交货方式、地点和运杂费负担：甲方组织运输工具到乙方仓库提货，运费、上、下车费等均由甲方自理，乙方凭合同和甲方收货人出据的证明发货。若遇便车，乙方可以代运，其代运费用概由甲方负担。乙方垫付的款项，随同水泥价款一并结算。</w:t>
      </w:r>
    </w:p>
    <w:p w14:paraId="08ECF994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2F4948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五、甲乙双方必须按如下期限提（供）货：</w:t>
      </w:r>
    </w:p>
    <w:p w14:paraId="5F1B1091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577A78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日前提（供）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吨。其中：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吨，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吨。</w:t>
      </w:r>
    </w:p>
    <w:p w14:paraId="330227BC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BB1E7A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日前提（供）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吨。其中：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吨，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吨。</w:t>
      </w:r>
    </w:p>
    <w:p w14:paraId="498D1D97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B4F9A7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日前提（供）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吨。其中：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吨，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吨。</w:t>
      </w:r>
    </w:p>
    <w:p w14:paraId="4ADA66AA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A17049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日前提（供）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吨。其中：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吨，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吨。</w:t>
      </w:r>
    </w:p>
    <w:p w14:paraId="475D62E8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A83592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甲方逾期提（收）货的。乙方有权处理该货，并不免除甲方责任。</w:t>
      </w:r>
    </w:p>
    <w:p w14:paraId="241C1355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1E6FEE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六、付款办法和期限：</w:t>
      </w:r>
    </w:p>
    <w:p w14:paraId="7EB8E54F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41FE77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甲方在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日前付定金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</w:p>
    <w:p w14:paraId="7CCBCAF5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360DE5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采取先汇款后结算方式：甲方按购水泥总金额分期先汇款。</w:t>
      </w:r>
    </w:p>
    <w:p w14:paraId="01BFCB75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ED02FF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日前电汇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日前电汇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</w:p>
    <w:p w14:paraId="6098D305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E44440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日前电汇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日前电汇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0D1B3880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533388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采取托收承付方式：按《中国人民银行结算办法》第八条第一、二、三、五、六、七、八项规定执行。乙方每月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日～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日凭实发水泥开具销售发票向甲方开户银行办理托收。</w:t>
      </w:r>
    </w:p>
    <w:p w14:paraId="5AECC89D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D91191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七、违约责任：</w:t>
      </w:r>
    </w:p>
    <w:p w14:paraId="4A83BC0B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D1E011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甲方责任：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中途退货或违约拒收的，偿付退（或拒收）货部分货款总值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的违约金。逾期提货的，每天偿付逾期提货部分货款总值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的违约金，并承担乙方实际支付的代管费用。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逾期付款的。每天偿付逾期付款总额</w:t>
      </w:r>
      <w:r>
        <w:rPr>
          <w:rFonts w:ascii="宋体"/>
          <w:kern w:val="0"/>
          <w:sz w:val="24"/>
          <w:szCs w:val="20"/>
          <w:lang w:val="zh-CN"/>
        </w:rPr>
        <w:t>____ %</w:t>
      </w:r>
      <w:r>
        <w:rPr>
          <w:rFonts w:ascii="宋体" w:hint="eastAsia"/>
          <w:kern w:val="0"/>
          <w:sz w:val="24"/>
          <w:szCs w:val="20"/>
          <w:lang w:val="zh-CN"/>
        </w:rPr>
        <w:t>的违约金。</w:t>
      </w:r>
    </w:p>
    <w:p w14:paraId="208DBF80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F84460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乙方责任：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不能交货的，偿付不能交货部分货款总值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％的违约金；逾期交货的，按逾期交货部分货款总值计算，每天偿付</w:t>
      </w:r>
      <w:r>
        <w:rPr>
          <w:rFonts w:ascii="宋体"/>
          <w:kern w:val="0"/>
          <w:sz w:val="24"/>
          <w:szCs w:val="20"/>
          <w:lang w:val="zh-CN"/>
        </w:rPr>
        <w:t>____ %</w:t>
      </w:r>
      <w:r>
        <w:rPr>
          <w:rFonts w:ascii="宋体" w:hint="eastAsia"/>
          <w:kern w:val="0"/>
          <w:sz w:val="24"/>
          <w:szCs w:val="20"/>
          <w:lang w:val="zh-CN"/>
        </w:rPr>
        <w:t>的违约金。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所交水泥质量、规格不符合同规定，除自费负责处理外，还要赔偿实际经济损失。</w:t>
      </w:r>
    </w:p>
    <w:p w14:paraId="6763FD86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01F831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八、本合同一式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份。经法定代表人签字后生效。有效期自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14:paraId="209B229B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8B4DA1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/>
          <w:kern w:val="0"/>
          <w:sz w:val="24"/>
          <w:szCs w:val="20"/>
          <w:lang w:val="zh-CN"/>
        </w:rPr>
        <w:t>_________________</w:t>
      </w:r>
      <w:r>
        <w:rPr>
          <w:rFonts w:ascii="宋体"/>
          <w:kern w:val="0"/>
          <w:sz w:val="24"/>
          <w:szCs w:val="20"/>
          <w:lang w:val="zh-CN"/>
        </w:rPr>
        <w:t xml:space="preserve">_______                </w:t>
      </w: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14:paraId="4D2E089B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0D0A88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                </w:t>
      </w:r>
      <w:r>
        <w:rPr>
          <w:rFonts w:ascii="宋体" w:hint="eastAsia"/>
          <w:kern w:val="0"/>
          <w:sz w:val="24"/>
          <w:szCs w:val="20"/>
          <w:lang w:val="zh-CN"/>
        </w:rPr>
        <w:t>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6159F6A5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57FFDE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                </w:t>
      </w: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71FFBF03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4FCE59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                </w:t>
      </w: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/>
          <w:kern w:val="0"/>
          <w:sz w:val="24"/>
          <w:szCs w:val="20"/>
          <w:lang w:val="zh-CN"/>
        </w:rPr>
        <w:t>______________</w:t>
      </w:r>
      <w:r>
        <w:rPr>
          <w:rFonts w:ascii="宋体"/>
          <w:kern w:val="0"/>
          <w:sz w:val="24"/>
          <w:szCs w:val="20"/>
          <w:lang w:val="zh-CN"/>
        </w:rPr>
        <w:t>__________</w:t>
      </w:r>
    </w:p>
    <w:p w14:paraId="3FAC1AB4" w14:textId="77777777" w:rsidR="00917B24" w:rsidRDefault="00917B2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89344C" w14:textId="77777777" w:rsidR="00917B24" w:rsidRDefault="00917B24">
      <w:pPr>
        <w:autoSpaceDE w:val="0"/>
        <w:autoSpaceDN w:val="0"/>
        <w:adjustRightInd w:val="0"/>
        <w:spacing w:line="480" w:lineRule="auto"/>
        <w:ind w:firstLineChars="800" w:firstLine="1920"/>
        <w:jc w:val="lef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917B2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382FC" w14:textId="77777777" w:rsidR="00917B24" w:rsidRDefault="00917B24" w:rsidP="00840DC4">
      <w:r>
        <w:separator/>
      </w:r>
    </w:p>
  </w:endnote>
  <w:endnote w:type="continuationSeparator" w:id="0">
    <w:p w14:paraId="57454430" w14:textId="77777777" w:rsidR="00917B24" w:rsidRDefault="00917B24" w:rsidP="00840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5B696" w14:textId="77777777" w:rsidR="00917B24" w:rsidRDefault="00917B24" w:rsidP="00840DC4">
      <w:r>
        <w:separator/>
      </w:r>
    </w:p>
  </w:footnote>
  <w:footnote w:type="continuationSeparator" w:id="0">
    <w:p w14:paraId="06A10D5C" w14:textId="77777777" w:rsidR="00917B24" w:rsidRDefault="00917B24" w:rsidP="00840D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500892223">
    <w:abstractNumId w:val="8"/>
  </w:num>
  <w:num w:numId="2" w16cid:durableId="1194339838">
    <w:abstractNumId w:val="3"/>
  </w:num>
  <w:num w:numId="3" w16cid:durableId="736589852">
    <w:abstractNumId w:val="2"/>
  </w:num>
  <w:num w:numId="4" w16cid:durableId="520705265">
    <w:abstractNumId w:val="1"/>
  </w:num>
  <w:num w:numId="5" w16cid:durableId="1933388279">
    <w:abstractNumId w:val="0"/>
  </w:num>
  <w:num w:numId="6" w16cid:durableId="792400844">
    <w:abstractNumId w:val="9"/>
  </w:num>
  <w:num w:numId="7" w16cid:durableId="964385781">
    <w:abstractNumId w:val="7"/>
  </w:num>
  <w:num w:numId="8" w16cid:durableId="213732762">
    <w:abstractNumId w:val="6"/>
  </w:num>
  <w:num w:numId="9" w16cid:durableId="1560439488">
    <w:abstractNumId w:val="5"/>
  </w:num>
  <w:num w:numId="10" w16cid:durableId="1679104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070E"/>
    <w:rsid w:val="00840DC4"/>
    <w:rsid w:val="00917B24"/>
    <w:rsid w:val="00FF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54494374"/>
  <w15:chartTrackingRefBased/>
  <w15:docId w15:val="{A430B841-7E58-4DFE-8016-3CE9A9F63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840D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0DC4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0D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0DC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</Words>
  <Characters>1594</Characters>
  <Application>Microsoft Office Word</Application>
  <DocSecurity>4</DocSecurity>
  <Lines>13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