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8632" w14:textId="77777777" w:rsidR="00CC5867" w:rsidRDefault="00CC586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租赁经营投标程序及规则</w:t>
      </w:r>
    </w:p>
    <w:p w14:paraId="20102DD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BC614F" w14:textId="77777777" w:rsidR="00CC5867" w:rsidRDefault="00CC586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0EDEE5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一、投标答辩</w:t>
      </w:r>
    </w:p>
    <w:p w14:paraId="42DE376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FF7D06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１．投标答辩，由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公司《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厂租赁经营》评标委员会组织，公开进行，允许旁听。</w:t>
      </w:r>
    </w:p>
    <w:p w14:paraId="216C2CF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06CFA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租赁经营》评标委员会邀请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市公正机关和有关部门的代表参加投标答辩会议。</w:t>
      </w:r>
    </w:p>
    <w:p w14:paraId="76585F0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418B7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３．投标答辩人，由《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厂租赁经营》评标委员会经过初步筛选后产生。没有取得投标答辩权的投标人，可以参加投标答辩会议旁听。</w:t>
      </w:r>
    </w:p>
    <w:p w14:paraId="688F6569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32548B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４．投标答辩的顺序，由投标答辩人抽签决定。答辩开始后，尚未轮到答辩的投标人，不准参加答辩会（包括合伙人）。答辩完毕的投标人，可以列席旁听其他人的答辩。</w:t>
      </w:r>
    </w:p>
    <w:p w14:paraId="05E24BD1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8332F1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５．投标答辩人在答辩前，认为个别评委对自己的评判可能产生不公正的结果，有权向评标委员会主任提出请求该评委回避，评标委员会主任认为有必要时，告知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被请求人，在对该投标答辩人的《投标方案》评议和评分时回避。</w:t>
      </w:r>
    </w:p>
    <w:p w14:paraId="2546333A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27EC39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６．从投标答辩会议开始，到投标答辩会议结束，评标委员会委员不准和任何投标答辩人接触，如发现有徇私舞弊行为，撤销其评委资格和有关投标人的答辩、中标资格。</w:t>
      </w:r>
    </w:p>
    <w:p w14:paraId="439E0A5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0092D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７．投标答辩人应当遵守答辩会议的各项规则，按顺序进行答辩，到时不参加答辩的以弃权论。</w:t>
      </w:r>
    </w:p>
    <w:p w14:paraId="2E0D0729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D88251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８．投标答辩人的答辩时间相等，答辩分为：《投标方案》解释阶段和答辩阶段，每个阶段结束前三分钟，会议主持人应当提醒投标答辩人，到时应当通知答辩人停止发言。</w:t>
      </w:r>
    </w:p>
    <w:p w14:paraId="410C2FC6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918A5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９．投标答辩人的发言要言简意赅、突出重点，以《投标方案》为准，离题太远时，评委会主任应当提醒答辩人进行纠正。</w:t>
      </w:r>
    </w:p>
    <w:p w14:paraId="6973C83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D41BA7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评委向投标答辩人提出的问题，只限于《投标方案》的范围内。投标答辩人对评委提出的与《投标方案》无关的问题可以拒绝回答。</w:t>
      </w:r>
    </w:p>
    <w:p w14:paraId="7935A85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86EC51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１０．投标答辩人应以自己的最佳方案，进行一次答辩。</w:t>
      </w:r>
    </w:p>
    <w:p w14:paraId="45249E97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E4E56B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１１．《投标方案》中有关投标人的家庭财产部分，评委有为其保密的义务，如因评委泄密，造成严重后果，泄密人应负行政或者法律责任。</w:t>
      </w:r>
    </w:p>
    <w:p w14:paraId="7041F63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8E71BF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二、评标与决标</w:t>
      </w:r>
    </w:p>
    <w:p w14:paraId="4CAE6BDA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6C5E43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１２．评标委员会委员在评标和决标中，要立场公正、实事求是、合理评分、确切评议，对所有投标答辩人，一视同仁。</w:t>
      </w:r>
    </w:p>
    <w:p w14:paraId="0A6928E7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52E35B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１３．评委在投标答辩人评分时，禁止相互协商。</w:t>
      </w:r>
    </w:p>
    <w:p w14:paraId="29E9182A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50D1B5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评委应当在投标答辩人答辩后十分钟内，就地按时以无记名方式作出自己的评分和评语表，交工作人员进行统计和计算，由公证机关代表进行监督。</w:t>
      </w:r>
    </w:p>
    <w:p w14:paraId="2D89ED6A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65BB46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１４．招标工作人员应当在投标答辩后一日内，对每个投标答辩人的得分及评语要点，整理好后交评委会主任。</w:t>
      </w:r>
    </w:p>
    <w:p w14:paraId="1CCE3603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FAD2C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１５．评委会经过评议，预选四名中标候选人，向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厂职工大会作冶厂方演说。</w:t>
      </w:r>
    </w:p>
    <w:p w14:paraId="0A75E7C8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986F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预选的中标候选人，应认真准备书面演说词，一式两份，交评委会，并按演说词进行演说。</w:t>
      </w:r>
    </w:p>
    <w:p w14:paraId="67CAE0F5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4F82F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评委会应专门听取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厂职工代表对中标候选人演说的意见。</w:t>
      </w:r>
    </w:p>
    <w:p w14:paraId="3E521378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C1A7C0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１６．决标由全体评委采用无记名投标方式进行，得票超过评委人数三分之二多数的中标，评委会主任宣布中标人。</w:t>
      </w:r>
    </w:p>
    <w:p w14:paraId="394D63B1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F6495A" w14:textId="77777777" w:rsidR="00CC5867" w:rsidRDefault="00CC586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投标表决时，应有公证机关的代表参加验票和计算票数。</w:t>
      </w:r>
    </w:p>
    <w:p w14:paraId="4B68E98C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D47043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表决结果如均未超过三分之二的票数时，则依得票数额取其前两名，由评委会进行再次评议表决，得票多者中标。</w:t>
      </w:r>
    </w:p>
    <w:p w14:paraId="7AE369FE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662333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７．少数评委对中标人有重大异议，认为自己的意见足以说明中标人无经营能力和条件的，可在决标会上要求重新表决。评委会主任认为有必要时，可重新投票表决一次，重新表决后的中标人即为中标人，决标终止。</w:t>
      </w:r>
    </w:p>
    <w:p w14:paraId="4660FA9F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7B8E37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１８．投标人放弃中标权的，应在决标前向评委提出。</w:t>
      </w:r>
    </w:p>
    <w:p w14:paraId="4C0B9ADD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40E3AD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三、其它事项</w:t>
      </w:r>
    </w:p>
    <w:p w14:paraId="786B6A6A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DE6D67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１９．投标答辩、评标及决标的一切资料，由招标工作人员分门别类，整理存档备查。</w:t>
      </w:r>
    </w:p>
    <w:p w14:paraId="2F17DCDD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0D8F6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０．中标人的《投标方案》和答辩记录作为签订租赁经营合同的依据之一，在签订租赁经营合同时，中标人反悔的应负行政责任，情节严重的要负法律责任，还要赔偿招标单位本次招标及再行招标活动的一切费用。</w:t>
      </w:r>
    </w:p>
    <w:p w14:paraId="07102492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57A84B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合伙承租的投标人，合伙人负连带责任。</w:t>
      </w:r>
    </w:p>
    <w:p w14:paraId="6AE00203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BA12D8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２１．本《投标答辩、评标、决标程序及规则》的未规定事宜，评委会主任有权处置。</w:t>
      </w:r>
    </w:p>
    <w:p w14:paraId="3371B5B9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553819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２２．租赁经营合同生效后，招标工作全部结束。</w:t>
      </w:r>
    </w:p>
    <w:p w14:paraId="5C55F245" w14:textId="77777777" w:rsidR="00CC5867" w:rsidRDefault="00CC58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3C1D14" w14:textId="77777777" w:rsidR="00CC5867" w:rsidRDefault="00CC586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２３．本规则从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日生效。</w:t>
      </w:r>
    </w:p>
    <w:p w14:paraId="65346433" w14:textId="77777777" w:rsidR="00CC5867" w:rsidRDefault="00CC586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F4F3DC" w14:textId="77777777" w:rsidR="00CC5867" w:rsidRDefault="00CC586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14:paraId="413C1803" w14:textId="77777777" w:rsidR="00CC5867" w:rsidRDefault="00CC5867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C586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5F9F5" w14:textId="77777777" w:rsidR="00CC5867" w:rsidRDefault="00CC5867" w:rsidP="00404D65">
      <w:r>
        <w:separator/>
      </w:r>
    </w:p>
  </w:endnote>
  <w:endnote w:type="continuationSeparator" w:id="0">
    <w:p w14:paraId="0A4F4677" w14:textId="77777777" w:rsidR="00CC5867" w:rsidRDefault="00CC5867" w:rsidP="0040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5603" w14:textId="77777777" w:rsidR="00CC5867" w:rsidRDefault="00CC5867" w:rsidP="00404D65">
      <w:r>
        <w:separator/>
      </w:r>
    </w:p>
  </w:footnote>
  <w:footnote w:type="continuationSeparator" w:id="0">
    <w:p w14:paraId="2D2461F5" w14:textId="77777777" w:rsidR="00CC5867" w:rsidRDefault="00CC5867" w:rsidP="00404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8819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0758"/>
    <w:rsid w:val="00230758"/>
    <w:rsid w:val="00404D65"/>
    <w:rsid w:val="00CC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AE6CF"/>
  <w15:chartTrackingRefBased/>
  <w15:docId w15:val="{41124E5E-A677-4271-8D95-51945F3B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404D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04D65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04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04D6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