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1AC7" w:rsidRDefault="00951AC7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经济特区房屋租赁合同书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（简称：甲方）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承租方：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>（简称：甲方）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为了发展特区的经济建设，提高单位或个人房屋的使用率，现根据国家和省、市的有关法规，经甲乙双方充分协商，一致同意签订租赁合同，合同条款如下：</w:t>
      </w:r>
    </w:p>
    <w:p w:rsidR="00951AC7" w:rsidRDefault="00951AC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ind w:left="240" w:hangingChars="100" w:hanging="24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一、甲方将座落在×××市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路（村）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街（坊）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号的房屋，建筑面积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平方米，（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厅或间）出租给乙方，作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使用。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甲方将座落在×××市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>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住宅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幢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号的房屋。建筑面积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平方米，（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厅或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间）出租给乙方，作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使用。</w:t>
      </w:r>
    </w:p>
    <w:p w:rsidR="00951AC7" w:rsidRDefault="00951AC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51AC7" w:rsidRDefault="00951AC7">
      <w:pPr>
        <w:pStyle w:val="a4"/>
      </w:pPr>
      <w:r>
        <w:rPr>
          <w:rFonts w:hint="eastAsia"/>
        </w:rPr>
        <w:t xml:space="preserve">　　二、租期从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日起至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日止（即：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>月）。</w:t>
      </w:r>
    </w:p>
    <w:p w:rsidR="00951AC7" w:rsidRDefault="00951AC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三、乙方每月（季）向甲方缴纳租金人民币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元整，并于当月（季）初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天内交清。</w:t>
      </w:r>
    </w:p>
    <w:p w:rsidR="00951AC7" w:rsidRDefault="00951AC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四、房屋租赁合同生效后，乙方应向甲方交付三个月房租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元，作为履约保证金，合同期满后退还给乙方。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五、出租房屋的房地产税、个人收入调节税、土地使用费、出租房屋管理费由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方负责交纳；水电费、卫生费、房屋管理费由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方负责交付。</w:t>
      </w:r>
    </w:p>
    <w:p w:rsidR="00951AC7" w:rsidRDefault="00951AC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六、乙方必须依约交付租金，如有拖欠租金，每天按租金额</w:t>
      </w:r>
      <w:r>
        <w:rPr>
          <w:rFonts w:ascii="宋体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％加收滞纳金；如拖欠租金达三个月以上，甲方有权收回房屋，并有权拒绝返还履约保证金。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七、乙方不得擅自改变房屋的结构及用途，乙方因故意或过失造成租用房屋和配套设备的毁损，应负恢复房屋原状或赔偿经济损失责任。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八、甲方应负责出租房屋的正常维修，或委托承租方代行维修，维修费在租金中折算；若甲方拖延维修或不作委托维修造成房屋毁损，乙方不负责任，并负责赔偿乙方的经济损失。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九、租赁期间房屋如因不可抗力的自然灾害导致毁损，本合同则自然终止，双方有关问题可按有关法律处理。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租赁期间，甲乙双方均不得借故解除合同，如甲方要收回房屋，必须提前三个月书面通知乙方并取得同意，同时应双倍返还履约保证金；如乙方需退房，也必须提前三个月书面通知甲方并征得同意，同时不得要求返还履约保证金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租赁期间，乙方未经甲方同意，不得将房屋转租给第三方；租赁期届满或解除合同时，乙方需按时归还房屋给甲方，如需续租，须提前三个月与甲方协商，若逾期不还又未续租，甲方可直接向房屋租赁管理部门申请调解或起诉人民法院处理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十二、本合同如有未尽事宜，可经双方协商作出补充规定，补充规定与合同具有同等效力。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十三、本合同如在履行中发生纠纷，应通过甲乙双方协商解决；协商不成，可请房屋租赁管理部门调解或起诉人民法院处理。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十四、本合同可经公证处公证，合同一式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份，甲乙双方各执一份，公证处一份，税务部门一份，房屋租赁管理部门一份，均具有同等法律效力。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出租人：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（签名盖章）</w:t>
      </w:r>
    </w:p>
    <w:p w:rsidR="00951AC7" w:rsidRDefault="00951AC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承租人：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（签名盖章）</w:t>
      </w:r>
    </w:p>
    <w:p w:rsidR="00951AC7" w:rsidRDefault="00951AC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日签订于×××市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经办单位：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（签名盖章）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经办人：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951AC7" w:rsidRDefault="00951AC7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951AC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1AC7" w:rsidRDefault="00951AC7" w:rsidP="000052CF">
      <w:r>
        <w:separator/>
      </w:r>
    </w:p>
  </w:endnote>
  <w:endnote w:type="continuationSeparator" w:id="0">
    <w:p w:rsidR="00951AC7" w:rsidRDefault="00951AC7" w:rsidP="00005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1AC7" w:rsidRDefault="00951AC7" w:rsidP="000052CF">
      <w:r>
        <w:separator/>
      </w:r>
    </w:p>
  </w:footnote>
  <w:footnote w:type="continuationSeparator" w:id="0">
    <w:p w:rsidR="00951AC7" w:rsidRDefault="00951AC7" w:rsidP="000052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592F"/>
    <w:rsid w:val="000052CF"/>
    <w:rsid w:val="001F592F"/>
    <w:rsid w:val="0095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E5315C-C47C-4A68-A47B-1F8E13EA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052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052C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052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052C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1203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