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6EF5" w14:textId="77777777" w:rsidR="004B51EC" w:rsidRDefault="004B51E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中外来料加工、来件装配合同</w:t>
      </w:r>
    </w:p>
    <w:p w14:paraId="769C5D08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A9E64D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BF51579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445CCAE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C9DD4C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4F3B54EC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35B0EF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50D19A70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1E9DD2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759940AD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532051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770B7374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59138B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国籍：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2D4F6C47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F99CC9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兹经双方同意，甲方委托乙方在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  <w:r>
        <w:rPr>
          <w:rFonts w:ascii="宋体" w:hint="eastAsia"/>
          <w:kern w:val="0"/>
          <w:sz w:val="24"/>
          <w:szCs w:val="20"/>
          <w:lang w:val="zh-CN"/>
        </w:rPr>
        <w:t>加工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________________________________ </w:t>
      </w:r>
      <w:r>
        <w:rPr>
          <w:rFonts w:ascii="宋体" w:hint="eastAsia"/>
          <w:kern w:val="0"/>
          <w:sz w:val="24"/>
          <w:szCs w:val="20"/>
          <w:lang w:val="zh-CN"/>
        </w:rPr>
        <w:t>，其条款如下：</w:t>
      </w:r>
    </w:p>
    <w:p w14:paraId="35009F51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ECA729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来料加工和来件装配的商品和数量：</w:t>
      </w:r>
    </w:p>
    <w:p w14:paraId="58D5CDB3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4124F8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）商品名称；</w:t>
      </w:r>
    </w:p>
    <w:p w14:paraId="673408DF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45377D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）数量………共计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台。</w:t>
      </w:r>
    </w:p>
    <w:p w14:paraId="446EA681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F67283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一切所需用的零件和原料由甲方提供，或由乙方在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购买，清单附于本合同内。</w:t>
      </w:r>
    </w:p>
    <w:p w14:paraId="0093E8A8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511912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每种型号的加工费如下</w:t>
      </w:r>
    </w:p>
    <w:p w14:paraId="533BAF8A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CA2AEF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</w:p>
    <w:p w14:paraId="6DDDD894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CAAA16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</w:p>
    <w:p w14:paraId="63EC05CD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A77465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美元）。</w:t>
      </w:r>
    </w:p>
    <w:p w14:paraId="6329283F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F9E5E8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加工所需的主要零件、消耗品及原料由甲方运至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，若有（某地）短少或破损，甲方应负责补充供应。</w:t>
      </w:r>
    </w:p>
    <w:p w14:paraId="59F5DA22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BE36EC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甲方应于成品交运前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个月，开立信用证（或电汇全部加工费）用于由乙方在</w:t>
      </w:r>
      <w:r>
        <w:rPr>
          <w:rFonts w:ascii="宋体"/>
          <w:kern w:val="0"/>
          <w:sz w:val="24"/>
          <w:szCs w:val="20"/>
          <w:lang w:val="zh-CN"/>
        </w:rPr>
        <w:lastRenderedPageBreak/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购买零配件、消耗品及原料费用。</w:t>
      </w:r>
    </w:p>
    <w:p w14:paraId="674DDD24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298D03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乙方应在双方同意的时间内完成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型标准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的加工和交运，不得延迟，凡发生无法控制的和不可预见的情况例外。</w:t>
      </w:r>
    </w:p>
    <w:p w14:paraId="22138B40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D1E3F3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零件及原料的损耗率：加工时零件及原料损耗率为</w:t>
      </w:r>
      <w:r>
        <w:rPr>
          <w:rFonts w:ascii="宋体"/>
          <w:kern w:val="0"/>
          <w:sz w:val="24"/>
          <w:szCs w:val="20"/>
          <w:lang w:val="zh-CN"/>
        </w:rPr>
        <w:t>______%</w:t>
      </w:r>
      <w:r>
        <w:rPr>
          <w:rFonts w:ascii="宋体" w:hint="eastAsia"/>
          <w:kern w:val="0"/>
          <w:sz w:val="24"/>
          <w:szCs w:val="20"/>
          <w:lang w:val="zh-CN"/>
        </w:rPr>
        <w:t>，其损耗部分由甲方免费供应，如损耗率超过</w:t>
      </w:r>
      <w:r>
        <w:rPr>
          <w:rFonts w:ascii="宋体"/>
          <w:kern w:val="0"/>
          <w:sz w:val="24"/>
          <w:szCs w:val="20"/>
          <w:lang w:val="zh-CN"/>
        </w:rPr>
        <w:t>_____%</w:t>
      </w:r>
      <w:r>
        <w:rPr>
          <w:rFonts w:ascii="宋体" w:hint="eastAsia"/>
          <w:kern w:val="0"/>
          <w:sz w:val="24"/>
          <w:szCs w:val="20"/>
          <w:lang w:val="zh-CN"/>
        </w:rPr>
        <w:t>，应由乙方补充加工所需之零件和原料。</w:t>
      </w:r>
    </w:p>
    <w:p w14:paraId="2922C8FB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8507A5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若甲方误运原料及零件，或错将原料及零件超运，乙方应将超运部份退回，其费用由甲方承担，若遇有短缺，应由甲方补充。</w:t>
      </w:r>
    </w:p>
    <w:p w14:paraId="28832334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EA48B3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甲方提供加工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标准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零件和原料，乙方应严格按规定的设计加工，不得变更。</w:t>
      </w:r>
    </w:p>
    <w:p w14:paraId="3BF3C774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379179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10.</w:t>
      </w:r>
      <w:r>
        <w:rPr>
          <w:rFonts w:ascii="宋体" w:hint="eastAsia"/>
          <w:kern w:val="0"/>
          <w:sz w:val="24"/>
          <w:szCs w:val="20"/>
          <w:lang w:val="zh-CN"/>
        </w:rPr>
        <w:t>技术服务：</w:t>
      </w:r>
    </w:p>
    <w:p w14:paraId="78D48ABF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DBBFA5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甲方同意乙方随时提出派遣技术人员到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的要求，协助培训乙方的技术人员，并允许所派的技术人员留在乙方检验成品。为此，乙方同意支付每人月薪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美元，其他一切费用（包括来回旅费）概由甲方负责。</w:t>
      </w:r>
    </w:p>
    <w:p w14:paraId="6553D2F6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D12625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11.</w:t>
      </w:r>
      <w:r>
        <w:rPr>
          <w:rFonts w:ascii="宋体" w:hint="eastAsia"/>
          <w:kern w:val="0"/>
          <w:sz w:val="24"/>
          <w:szCs w:val="20"/>
          <w:lang w:val="zh-CN"/>
        </w:rPr>
        <w:t>与本合同有关的一切进出口手续，应由乙方予以办理。</w:t>
      </w:r>
    </w:p>
    <w:p w14:paraId="01B1402C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F78C96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</w:t>
      </w:r>
      <w:r>
        <w:rPr>
          <w:rFonts w:ascii="宋体" w:hint="eastAsia"/>
          <w:kern w:val="0"/>
          <w:sz w:val="24"/>
          <w:szCs w:val="20"/>
          <w:lang w:val="zh-CN"/>
        </w:rPr>
        <w:t>加工后的标准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乙方应运交给甲方随时指定的国外买主。</w:t>
      </w:r>
    </w:p>
    <w:p w14:paraId="3ED91D9A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5175E1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13.</w:t>
      </w:r>
      <w:r>
        <w:rPr>
          <w:rFonts w:ascii="宋体" w:hint="eastAsia"/>
          <w:kern w:val="0"/>
          <w:sz w:val="24"/>
          <w:szCs w:val="20"/>
          <w:lang w:val="zh-CN"/>
        </w:rPr>
        <w:t>其他条件：</w:t>
      </w:r>
    </w:p>
    <w:p w14:paraId="1223F43C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5D5DD1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）标准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的商标由甲方提供，若出现法律纠纷，甲方应负完全责任；</w:t>
      </w:r>
    </w:p>
    <w:p w14:paraId="00E4E15D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A6565E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若必要时乙方在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购买加工标准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的零件及原料，其品质必须符合标准并事先需经甲方核准；</w:t>
      </w:r>
    </w:p>
    <w:p w14:paraId="734C4D15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360A60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为促进出口业务，乙方应储备标准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样品，随时可寄往甲方所指定的国外买主，所需的零件和原料，由甲方所运来的零件及原料中报销。</w:t>
      </w:r>
    </w:p>
    <w:p w14:paraId="2138E682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EFD6B4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14.</w:t>
      </w:r>
      <w:r>
        <w:rPr>
          <w:rFonts w:ascii="宋体" w:hint="eastAsia"/>
          <w:kern w:val="0"/>
          <w:sz w:val="24"/>
          <w:szCs w:val="20"/>
          <w:lang w:val="zh-CN"/>
        </w:rPr>
        <w:t>本合同一式二份，甲方与乙方在签字后各执一份。</w:t>
      </w:r>
    </w:p>
    <w:p w14:paraId="720C8A2F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1E2243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15417A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237DB6B2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D6882F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代表：</w:t>
      </w:r>
      <w:r>
        <w:rPr>
          <w:rFonts w:ascii="宋体"/>
          <w:kern w:val="0"/>
          <w:sz w:val="24"/>
          <w:szCs w:val="20"/>
          <w:lang w:val="zh-CN"/>
        </w:rPr>
        <w:t xml:space="preserve">____________________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代表：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49332B6C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15987D" w14:textId="77777777" w:rsidR="004B51EC" w:rsidRDefault="004B51EC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        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     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4B51E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84FE" w14:textId="77777777" w:rsidR="004B51EC" w:rsidRDefault="004B51EC" w:rsidP="007F3F87">
      <w:r>
        <w:separator/>
      </w:r>
    </w:p>
  </w:endnote>
  <w:endnote w:type="continuationSeparator" w:id="0">
    <w:p w14:paraId="301AE5FE" w14:textId="77777777" w:rsidR="004B51EC" w:rsidRDefault="004B51EC" w:rsidP="007F3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AD539" w14:textId="77777777" w:rsidR="004B51EC" w:rsidRDefault="004B51EC" w:rsidP="007F3F87">
      <w:r>
        <w:separator/>
      </w:r>
    </w:p>
  </w:footnote>
  <w:footnote w:type="continuationSeparator" w:id="0">
    <w:p w14:paraId="409F3C41" w14:textId="77777777" w:rsidR="004B51EC" w:rsidRDefault="004B51EC" w:rsidP="007F3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1B8"/>
    <w:rsid w:val="003831B8"/>
    <w:rsid w:val="004B51EC"/>
    <w:rsid w:val="007F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B9E79"/>
  <w15:chartTrackingRefBased/>
  <w15:docId w15:val="{57EABC34-5B1A-462E-A267-3603807A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F3F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F3F8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F3F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F3F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1503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