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F231E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883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股权质押合同</w:t>
      </w:r>
    </w:p>
    <w:p w14:paraId="5B632F6E" w14:textId="77777777" w:rsidR="00B93704" w:rsidRDefault="00B9370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71F80C8" w14:textId="77777777" w:rsidR="00B93704" w:rsidRDefault="00B9370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9C28C2" w14:textId="77777777" w:rsidR="00B93704" w:rsidRDefault="00B9370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7D48BD8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出质人（以下称甲方）：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14:paraId="2005B07E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15508F25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质权人（以下称乙方）：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14:paraId="4E9028DA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0B7C05B2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为确保甲、乙双方签订的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号合同的履行，甲方以在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投资的股权作质押，经双方协商一致，就合同条款作如下约定：</w:t>
      </w:r>
    </w:p>
    <w:p w14:paraId="2FF3309E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1F9CE4A8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本合同所担保的债权为：乙方依贷款合同向甲方发放的总金额为人民币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（大写）元整的贷款，贷款年利率为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，贷款期限自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日。</w:t>
      </w:r>
    </w:p>
    <w:p w14:paraId="60FCD0E7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5DE71FE2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质押合同标的</w:t>
      </w:r>
    </w:p>
    <w:p w14:paraId="06BF0582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69430EFC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（１）质押标的为甲方（即上述合同借款人）在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公司投资的股权及其派生的权益。</w:t>
      </w:r>
    </w:p>
    <w:p w14:paraId="4CA2D3AE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1D9F96E6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（２）质押股权金额为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元整。</w:t>
      </w:r>
    </w:p>
    <w:p w14:paraId="0E6CC37C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7D941BEC" w14:textId="77777777" w:rsidR="00B93704" w:rsidRDefault="00B93704">
      <w:pPr>
        <w:pStyle w:val="a5"/>
      </w:pPr>
      <w:r>
        <w:rPr>
          <w:rFonts w:hint="eastAsia"/>
        </w:rPr>
        <w:t>（３）质押股权派生权益，系指质押股权应得红利及其他收益，必须记入甲方在乙方开立的保管帐户内，作为本质押项下贷款偿付的保证。</w:t>
      </w:r>
    </w:p>
    <w:p w14:paraId="36002F8F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402D607C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甲方应在本合同订立后１０日内就质押事宜征得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公司董事会议同意，并将出质股份于股东名册上办理登记手续，将股权证书移交给乙方保管。</w:t>
      </w:r>
    </w:p>
    <w:p w14:paraId="27DB3F3A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2115672B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本股权质押项下的贷款合同如有修改、补充而影响本质押合同时，双方应协商修改、补充本质押合同，使其与股权质押项下贷款合同规定相一致。</w:t>
      </w:r>
    </w:p>
    <w:p w14:paraId="4D23A0F5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6AE2A3A7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如因不可抗力原因致本合同须作一定删节、修改、补充时，应不免除</w:t>
      </w:r>
    </w:p>
    <w:p w14:paraId="13AD36E8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772011DC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或减少甲方在本合同中所承担的责任，不影响或侵犯乙方在本合同项下的权益。</w:t>
      </w:r>
    </w:p>
    <w:p w14:paraId="245A0BE0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2D865A08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发生下列事项之一时，乙方有权依法定方式处分质押股权及其派生权益，所得款项及权益优先清偿贷款本息。</w:t>
      </w:r>
    </w:p>
    <w:p w14:paraId="1638AD97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176834AD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（１）甲方不按本质押项下合同规定，如期偿还贷款本息，利息及费用。</w:t>
      </w:r>
    </w:p>
    <w:p w14:paraId="13B99AE1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52776EE5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（２）甲方被宣告解散、破产的。</w:t>
      </w:r>
    </w:p>
    <w:p w14:paraId="4AE63A22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7D50F640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在本合同有效期内，甲方如需转让出质股权，须经乙方书面同意，并将转让所得款项提前清偿贷款本息。</w:t>
      </w:r>
    </w:p>
    <w:p w14:paraId="2603F587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00EF14B0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本合同生效后，甲、乙任何一方不得擅自变更或解除合同，除经双方协议一致并达成书面协议。</w:t>
      </w:r>
    </w:p>
    <w:p w14:paraId="6EF952D7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6DEBF711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甲方在本合同第三条规定期限内不能取得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公司董事会同意质押或者在本合同签订前已将股权出质给第三者的，乙方有权提前收回贷款本息并有权要求甲方赔偿损失。</w:t>
      </w:r>
    </w:p>
    <w:p w14:paraId="10724163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0A433056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本合同是所担保贷款合同的组成部分，经双方签章并自股权出质登记之日起生效。</w:t>
      </w:r>
    </w:p>
    <w:p w14:paraId="4EA1FDA7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378CC22A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2E019E93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0F2D34AA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14:paraId="544A0744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3705ADAC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（或委托代理人）：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FE45D86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26E4C6CE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31ABA0AF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04016DE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14:paraId="55BA0C74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5D7C94C2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（或委托代理人）：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F63AF6B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7E4D66A5" w14:textId="77777777" w:rsidR="00B93704" w:rsidRDefault="00B93704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B9370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0F101" w14:textId="77777777" w:rsidR="00B93704" w:rsidRDefault="00B93704" w:rsidP="00295BB5">
      <w:r>
        <w:separator/>
      </w:r>
    </w:p>
  </w:endnote>
  <w:endnote w:type="continuationSeparator" w:id="0">
    <w:p w14:paraId="6A805E8B" w14:textId="77777777" w:rsidR="00B93704" w:rsidRDefault="00B93704" w:rsidP="00295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53452" w14:textId="77777777" w:rsidR="00B93704" w:rsidRDefault="00B93704" w:rsidP="00295BB5">
      <w:r>
        <w:separator/>
      </w:r>
    </w:p>
  </w:footnote>
  <w:footnote w:type="continuationSeparator" w:id="0">
    <w:p w14:paraId="2AD3CCF1" w14:textId="77777777" w:rsidR="00B93704" w:rsidRDefault="00B93704" w:rsidP="00295B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595360621">
    <w:abstractNumId w:val="7"/>
  </w:num>
  <w:num w:numId="2" w16cid:durableId="1532035381">
    <w:abstractNumId w:val="4"/>
  </w:num>
  <w:num w:numId="3" w16cid:durableId="155001771">
    <w:abstractNumId w:val="14"/>
  </w:num>
  <w:num w:numId="4" w16cid:durableId="289823558">
    <w:abstractNumId w:val="2"/>
  </w:num>
  <w:num w:numId="5" w16cid:durableId="1270550182">
    <w:abstractNumId w:val="3"/>
  </w:num>
  <w:num w:numId="6" w16cid:durableId="429011654">
    <w:abstractNumId w:val="5"/>
  </w:num>
  <w:num w:numId="7" w16cid:durableId="281621073">
    <w:abstractNumId w:val="0"/>
  </w:num>
  <w:num w:numId="8" w16cid:durableId="247738444">
    <w:abstractNumId w:val="17"/>
  </w:num>
  <w:num w:numId="9" w16cid:durableId="330178096">
    <w:abstractNumId w:val="13"/>
  </w:num>
  <w:num w:numId="10" w16cid:durableId="1299873255">
    <w:abstractNumId w:val="15"/>
  </w:num>
  <w:num w:numId="11" w16cid:durableId="1665544271">
    <w:abstractNumId w:val="16"/>
  </w:num>
  <w:num w:numId="12" w16cid:durableId="262424901">
    <w:abstractNumId w:val="8"/>
  </w:num>
  <w:num w:numId="13" w16cid:durableId="630552584">
    <w:abstractNumId w:val="12"/>
  </w:num>
  <w:num w:numId="14" w16cid:durableId="174729953">
    <w:abstractNumId w:val="10"/>
  </w:num>
  <w:num w:numId="15" w16cid:durableId="1162283330">
    <w:abstractNumId w:val="6"/>
  </w:num>
  <w:num w:numId="16" w16cid:durableId="1704283446">
    <w:abstractNumId w:val="1"/>
  </w:num>
  <w:num w:numId="17" w16cid:durableId="1158687890">
    <w:abstractNumId w:val="11"/>
  </w:num>
  <w:num w:numId="18" w16cid:durableId="4083108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578"/>
    <w:rsid w:val="00175578"/>
    <w:rsid w:val="00295BB5"/>
    <w:rsid w:val="00B9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6F46FD9"/>
  <w15:chartTrackingRefBased/>
  <w15:docId w15:val="{DA5093E1-0F4E-47DA-9898-AEEF0AFF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Body Text Indent"/>
    <w:basedOn w:val="a"/>
    <w:semiHidden/>
    <w:pPr>
      <w:autoSpaceDE w:val="0"/>
      <w:autoSpaceDN w:val="0"/>
      <w:adjustRightInd w:val="0"/>
      <w:spacing w:line="480" w:lineRule="auto"/>
      <w:ind w:firstLineChars="200" w:firstLine="480"/>
      <w:jc w:val="left"/>
    </w:pPr>
    <w:rPr>
      <w:rFonts w:ascii="宋体"/>
      <w:kern w:val="0"/>
      <w:sz w:val="24"/>
      <w:szCs w:val="20"/>
      <w:lang w:val="zh-CN"/>
    </w:rPr>
  </w:style>
  <w:style w:type="paragraph" w:styleId="a6">
    <w:name w:val="header"/>
    <w:basedOn w:val="a"/>
    <w:link w:val="a7"/>
    <w:uiPriority w:val="99"/>
    <w:unhideWhenUsed/>
    <w:rsid w:val="00295B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95BB5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95B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95BB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195</Words>
  <Characters>1112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