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244C" w14:textId="77777777" w:rsidR="0065378C" w:rsidRDefault="0065378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center"/>
        <w:rPr>
          <w:rFonts w:ascii="黑体" w:eastAsia="黑体" w:hAnsi="Times New Roman"/>
          <w:b/>
          <w:bCs/>
          <w:sz w:val="44"/>
          <w:szCs w:val="20"/>
          <w:lang w:val="zh-CN"/>
        </w:rPr>
      </w:pPr>
      <w:r>
        <w:rPr>
          <w:rFonts w:ascii="黑体" w:eastAsia="黑体" w:hAnsi="Times New Roman"/>
          <w:b/>
          <w:bCs/>
          <w:sz w:val="44"/>
          <w:szCs w:val="20"/>
          <w:lang w:val="zh-CN"/>
        </w:rPr>
        <w:t>中国人民建设银行借款合同</w:t>
      </w:r>
    </w:p>
    <w:p w14:paraId="4084538C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85F6D4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15AFC1B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867086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（简称借款方）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97A0EA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中国人民建设银行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行（简称贷款方）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0521DA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F070F3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根据国家规定，借款方为进行基本建设所需贷款，经贷款方审查同意发放。为明确双方责任，恪守信用，特签订本合同，共同遵守。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2A026D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ABFBDE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借款方向贷款方借款人民币（大写）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元，用于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。预计用款为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</w:p>
    <w:p w14:paraId="62EA5F8B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6046EA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自支用贷款之日起，按实际支用数计算利息，并计算复利。在合同规定的借款期内，年息为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％。借款方如果不按期归还贷款，逾期部分加收利息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8D5CAC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28E7E9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借款方保证从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月止，用国家规定的还贷资金偿还全部贷款。预定为：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元。逾期不还的，贷款方有权限期追回贷款，或者商请借款单位的其他开户银行代为扣款清偿。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559CAE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687A2F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因国家调整计划、产品价格、税率，以及修正概算等原因，需要变更合同条款时，由双方签订变更合同的文件，作为本合同的组成部分。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240EAD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53E621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贷款方有权检查、监督贷款的使用情况，了解借款方的经营管理、计划执行、财务活动和物资库存等情况。借款方应提供有关的统计、会计报表及资料。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B04D63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95C128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贷款方保证按照本合同的规定供应资金。因贷款方责任，未按期提供贷款，应按延期天数，以违约数额的＿＿％付给借款方违约金。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1FEE7B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0C9B15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借款方应按合同规定使用贷款。否则，贷款方有权收回部分或全部贷款，对违约使用的部分按原定利率加收罚息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A64985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5F6BCC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本合同经过双方签字，盖章后生效，贷款本息全部清偿后生效。合同正本一式２份，借、贷双方各执１份；副本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份，报送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等部门各执一份。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B7744F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8F5D6A3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A38002E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借款方：（公章）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6BE42A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31CF80D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64C790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A48CC09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（签字）　　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C83E53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E0BD3D0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16C9AE5A" w14:textId="77777777" w:rsidR="0065378C" w:rsidRDefault="0065378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23279BA" w14:textId="77777777" w:rsidR="0065378C" w:rsidRDefault="0065378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574B5E6" w14:textId="77777777" w:rsidR="0065378C" w:rsidRDefault="0065378C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7336E3" w14:textId="77777777" w:rsidR="0065378C" w:rsidRDefault="0065378C">
      <w:pPr>
        <w:autoSpaceDE w:val="0"/>
        <w:autoSpaceDN w:val="0"/>
        <w:adjustRightInd w:val="0"/>
        <w:spacing w:line="480" w:lineRule="auto"/>
        <w:ind w:firstLineChars="3200" w:firstLine="7680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sectPr w:rsidR="006537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A271" w14:textId="77777777" w:rsidR="0065378C" w:rsidRDefault="0065378C" w:rsidP="00803056">
      <w:r>
        <w:separator/>
      </w:r>
    </w:p>
  </w:endnote>
  <w:endnote w:type="continuationSeparator" w:id="0">
    <w:p w14:paraId="4288D357" w14:textId="77777777" w:rsidR="0065378C" w:rsidRDefault="0065378C" w:rsidP="00803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76D6" w14:textId="77777777" w:rsidR="0065378C" w:rsidRDefault="0065378C" w:rsidP="00803056">
      <w:r>
        <w:separator/>
      </w:r>
    </w:p>
  </w:footnote>
  <w:footnote w:type="continuationSeparator" w:id="0">
    <w:p w14:paraId="4EF45B8A" w14:textId="77777777" w:rsidR="0065378C" w:rsidRDefault="0065378C" w:rsidP="00803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3264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C04"/>
    <w:rsid w:val="004A2C04"/>
    <w:rsid w:val="0065378C"/>
    <w:rsid w:val="0080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21D2B1C"/>
  <w15:chartTrackingRefBased/>
  <w15:docId w15:val="{FE740026-0B12-44BD-8E32-505F1E0B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030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305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30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30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1102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