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CEC1" w14:textId="77777777" w:rsidR="00FA7577" w:rsidRDefault="00FA7577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建筑企业流动资金借款合同</w:t>
      </w:r>
    </w:p>
    <w:p w14:paraId="3A3E9908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81965C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C7201B8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5CB8AF75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2FFD83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301D548C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413D0C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11CFEC6C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ADB6D6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贷款单位：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534C1425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ADB891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2B8E6672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FD001B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54F9B35F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6319C2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保证单位：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16DFDD94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442FCA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43EA14A0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261977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7EABADD0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37FEA0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根据《中华人民共和国合同法》的规定，借款方为保证施工生产正常进行，向贷款方申请建筑企业流动资金贷款，经贷款方审查同意发放，为明确各方权责，特签订本合同共同遵守。</w:t>
      </w:r>
    </w:p>
    <w:p w14:paraId="4E2FEF8E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05F39A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本合同规定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年贷款额为人民币（大写）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万元，用于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1F5F2CB2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4262A9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借款方和贷款方必须共同遵守贷款办法，有关贷款事项按办法规定办理。</w:t>
      </w:r>
    </w:p>
    <w:p w14:paraId="0ACFB781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BF75A0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贷款自支用之日起，按实际支用数计收利息，利率为月息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‰，超计划贷款的超过部分利率为月息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‰，逾期贷款加计利息</w:t>
      </w:r>
      <w:r>
        <w:rPr>
          <w:rFonts w:ascii="宋体"/>
          <w:kern w:val="0"/>
          <w:sz w:val="24"/>
          <w:szCs w:val="20"/>
          <w:lang w:val="zh-CN"/>
        </w:rPr>
        <w:t>20%</w:t>
      </w:r>
      <w:r>
        <w:rPr>
          <w:rFonts w:ascii="宋体" w:hint="eastAsia"/>
          <w:kern w:val="0"/>
          <w:sz w:val="24"/>
          <w:szCs w:val="20"/>
          <w:lang w:val="zh-CN"/>
        </w:rPr>
        <w:t>，挪用贷款挪用部分加罚利息</w:t>
      </w:r>
      <w:r>
        <w:rPr>
          <w:rFonts w:ascii="宋体"/>
          <w:kern w:val="0"/>
          <w:sz w:val="24"/>
          <w:szCs w:val="20"/>
          <w:lang w:val="zh-CN"/>
        </w:rPr>
        <w:t>50%.</w:t>
      </w:r>
    </w:p>
    <w:p w14:paraId="151069F2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BD3531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贷款方保证按照本合同的规定供应资金，贷款方如因工作差错贻误用款，以致借款方遭受损失时，应按直接经济损失，由贷款方负责赔偿。</w:t>
      </w:r>
    </w:p>
    <w:p w14:paraId="42AE6F31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EC9533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贷款方有权检查贷款使用情况。检查时，借款方对调阅有关文件、帐册、凭证和报表，查核物资库存和施工生产情况等，必须给予方便。</w:t>
      </w:r>
    </w:p>
    <w:p w14:paraId="67249CAB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9B2F7B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借款方如违反合同和贷款办法的规定，贷款方有权停止贷款，提前收回部分或全部贷款。</w:t>
      </w:r>
    </w:p>
    <w:p w14:paraId="16792F9E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248124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担保方对借款方归还贷款本息承担责任，如果借款方未按期清偿贷款本息时，担保方应在接到贷款方还款通知后一个月内负责归还。</w:t>
      </w:r>
    </w:p>
    <w:p w14:paraId="0D7B0A2A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4196B1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本合同有效期：自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日起，至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日为止。</w:t>
      </w:r>
    </w:p>
    <w:p w14:paraId="233EEF4D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6F1F22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本合同正本一式三份，签章各方各执一份。</w:t>
      </w:r>
    </w:p>
    <w:p w14:paraId="020A441B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E370BC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借款方：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代表人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5668CD97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DA3FCEA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72A556D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贷款方：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代表人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5E1C2E2F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A249704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8C25B67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担保方：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代表人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03396E71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D4E875E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8AC0255" w14:textId="77777777" w:rsidR="00FA7577" w:rsidRDefault="00FA7577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FA757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1973C" w14:textId="77777777" w:rsidR="00FA7577" w:rsidRDefault="00FA7577" w:rsidP="007F1B14">
      <w:r>
        <w:separator/>
      </w:r>
    </w:p>
  </w:endnote>
  <w:endnote w:type="continuationSeparator" w:id="0">
    <w:p w14:paraId="1AD6C5B6" w14:textId="77777777" w:rsidR="00FA7577" w:rsidRDefault="00FA7577" w:rsidP="007F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0B131" w14:textId="77777777" w:rsidR="00FA7577" w:rsidRDefault="00FA7577" w:rsidP="007F1B14">
      <w:r>
        <w:separator/>
      </w:r>
    </w:p>
  </w:footnote>
  <w:footnote w:type="continuationSeparator" w:id="0">
    <w:p w14:paraId="084BA9B4" w14:textId="77777777" w:rsidR="00FA7577" w:rsidRDefault="00FA7577" w:rsidP="007F1B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4538"/>
    <w:rsid w:val="007F1B14"/>
    <w:rsid w:val="00954538"/>
    <w:rsid w:val="00FA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0B44249D"/>
  <w15:chartTrackingRefBased/>
  <w15:docId w15:val="{47D7DA27-8407-4AAA-9343-D604A0D1A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7F1B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F1B14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F1B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F1B1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196</Words>
  <Characters>1119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