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5132" w14:textId="77777777" w:rsidR="002D6C55" w:rsidRDefault="002D6C5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包船运输合同</w:t>
      </w:r>
    </w:p>
    <w:p w14:paraId="15C3A709" w14:textId="77777777" w:rsidR="002D6C55" w:rsidRDefault="002D6C5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DEBBCC5" w14:textId="77777777" w:rsidR="002D6C55" w:rsidRDefault="002D6C5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7B58365" w14:textId="77777777" w:rsidR="002D6C55" w:rsidRDefault="002D6C5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97E8B8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06BB07E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2B886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311DB76F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12DE2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AE0C320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AA775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船运公司</w:t>
      </w:r>
    </w:p>
    <w:p w14:paraId="55B23BB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A900E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3B9413E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CB6B8A" w14:textId="77777777" w:rsidR="002D6C55" w:rsidRDefault="002D6C5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8E96DF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2B841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乙方同意甲方托运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货物，经双方协商一致，签订本合同，共同遵守执行。</w:t>
      </w:r>
    </w:p>
    <w:p w14:paraId="0677B337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922E95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B5DCC4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运输方法</w:t>
      </w:r>
    </w:p>
    <w:p w14:paraId="287373D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2F34ED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乙方调派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吨船舶一艘，船名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，编号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，船舶有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  <w:r>
        <w:rPr>
          <w:rFonts w:ascii="宋体" w:hint="eastAsia"/>
          <w:kern w:val="0"/>
          <w:sz w:val="24"/>
          <w:szCs w:val="20"/>
          <w:lang w:val="zh-CN"/>
        </w:rPr>
        <w:t>吊装设备，应甲方要求由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港运至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港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号码头，按现行包船运输规定办理。</w:t>
      </w:r>
    </w:p>
    <w:p w14:paraId="5E0E48A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071A4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货物包装要求</w:t>
      </w:r>
    </w:p>
    <w:p w14:paraId="5C889C57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E2A16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乙方将货物用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材料包装，每包体积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米，重量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吨。（或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型号包装集装箱。）</w:t>
      </w:r>
    </w:p>
    <w:p w14:paraId="3457BB0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AF9D4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货物集中与接收时间</w:t>
      </w:r>
    </w:p>
    <w:p w14:paraId="0032093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9051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甲方应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日内将货物集中于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港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号码头。由乙方联系港口接收集货，货物由甲方看守。</w:t>
      </w:r>
    </w:p>
    <w:p w14:paraId="7B65D37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F8C8F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装船时间</w:t>
      </w:r>
    </w:p>
    <w:p w14:paraId="2E6FF256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B0A36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日将船舶抵达港，靠好码头，于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日时至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时将货物装完。</w:t>
      </w:r>
    </w:p>
    <w:p w14:paraId="6E79C8A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12F8B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运到期限</w:t>
      </w:r>
    </w:p>
    <w:p w14:paraId="5FDC8D1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1CF0C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乙方应于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时前将货物运达目的港码头。</w:t>
      </w:r>
    </w:p>
    <w:p w14:paraId="104D410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C4A1B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启航联系</w:t>
      </w:r>
    </w:p>
    <w:p w14:paraId="587D43E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A2949D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乙方在船舶装货完毕启航后，即发电报通知甲方做好卸货准备。如需领航时亦通知甲方按时派引航员领航，费用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方负担。</w:t>
      </w:r>
    </w:p>
    <w:p w14:paraId="702C1E8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9B220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卸船时间</w:t>
      </w:r>
    </w:p>
    <w:p w14:paraId="4575B81E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25329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甲方保证乙方船舶抵达目的港码头，自下锚时起于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小时内将货物卸完。</w:t>
      </w:r>
    </w:p>
    <w:p w14:paraId="3E13711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E6B18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运输质量</w:t>
      </w:r>
    </w:p>
    <w:p w14:paraId="4F35AC5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222C3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乙方装船时，甲方派员监装，指导照章操作，保证安全装货，装完船封好舱，甲方派押运员一人押运，乙方保证原装原运。</w:t>
      </w:r>
    </w:p>
    <w:p w14:paraId="0F0768A4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461E9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运输费用</w:t>
      </w:r>
    </w:p>
    <w:p w14:paraId="5F0F62F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55543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以船舶载重吨位计货物运费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元，空驶费按运费的</w:t>
      </w:r>
      <w:r>
        <w:rPr>
          <w:rFonts w:ascii="宋体"/>
          <w:kern w:val="0"/>
          <w:sz w:val="24"/>
          <w:szCs w:val="20"/>
          <w:lang w:val="zh-CN"/>
        </w:rPr>
        <w:t>50</w:t>
      </w:r>
      <w:r>
        <w:rPr>
          <w:rFonts w:ascii="宋体" w:hint="eastAsia"/>
          <w:kern w:val="0"/>
          <w:sz w:val="24"/>
          <w:szCs w:val="20"/>
          <w:lang w:val="zh-CN"/>
        </w:rPr>
        <w:t>％计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元，全船运费为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208D50D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63609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运费结算办法</w:t>
      </w:r>
    </w:p>
    <w:p w14:paraId="477D267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39AA7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本合同签订后，甲方应于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日前向乙方预付运输费用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元。乙方在船舶卸完后，甲方应于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日付清运输费用。</w:t>
      </w:r>
    </w:p>
    <w:p w14:paraId="6A4DDED6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6AB3C0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甲方违约责任</w:t>
      </w:r>
    </w:p>
    <w:p w14:paraId="407E97D4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937A0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甲方未按时集中货物，造成乙方船舶不能按时装货、按时起航，每延误一小时应向乙方偿付违约金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5BBC57F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87BC9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甲方未能按时卸货，每延迟一小时应向乙方偿付违约金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95B554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E3963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甲方未按时付清运输费用，每逾期一天，应向乙方偿付未付部分运输费用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09071E9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2C5EF0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甲方如不履行合同或擅自变更合同，应偿付乙方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元违约金。</w:t>
      </w:r>
    </w:p>
    <w:p w14:paraId="4E431B37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77FAE6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乙方违约责任</w:t>
      </w:r>
    </w:p>
    <w:p w14:paraId="38E1354D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C6AC9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乙方未按期将货物运达目的港码头，每逾期一天，应偿付甲方违约金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0AD883C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4488D1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乙方船舶起航后未电报通知甲方准备卸船时间，所造成损失由乙方负责。</w:t>
      </w:r>
    </w:p>
    <w:p w14:paraId="734188BF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280AE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乙方违章装、卸造成货物损坏，应赔偿实际损失，并向甲方偿付损失部分价款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7F3677E9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A3107D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乙方不履行合同或擅自变更合同，应偿付甲方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元违约金，并退还甲方的预付款。</w:t>
      </w:r>
    </w:p>
    <w:p w14:paraId="75BC8C8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75627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</w:t>
      </w:r>
    </w:p>
    <w:p w14:paraId="60610AF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EF1FD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在装、卸货物过程中，因气候影响装、卸作业时间，经甲乙双方签证，可按实际时间扣除。</w:t>
      </w:r>
    </w:p>
    <w:p w14:paraId="41A5611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8A44A4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因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级以上风暴影响，不能按期履行合同，双方均不负违约责任。</w:t>
      </w:r>
    </w:p>
    <w:p w14:paraId="5377EB2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85B52D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本合同执行中如发生争议，先由双方协商解决，协商不能解决，双方可按下列第（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）项解决：（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）申请仲裁机关裁决；（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）向人民法院起诉。</w:t>
      </w:r>
    </w:p>
    <w:p w14:paraId="36845B83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B7741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本合同一式二份，甲乙双方各执一份。</w:t>
      </w:r>
    </w:p>
    <w:p w14:paraId="2EEDD62C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3E2FD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14:paraId="6DBD835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63E0B2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</w:t>
      </w:r>
    </w:p>
    <w:p w14:paraId="04AFC28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C6F29C" w14:textId="77777777" w:rsidR="002D6C55" w:rsidRDefault="002D6C5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C5639A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EE22CB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14:paraId="74B993E5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6BA358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</w:t>
      </w:r>
    </w:p>
    <w:p w14:paraId="526610DA" w14:textId="77777777" w:rsidR="002D6C55" w:rsidRDefault="002D6C5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A169A4" w14:textId="77777777" w:rsidR="002D6C55" w:rsidRDefault="002D6C55">
      <w:pPr>
        <w:autoSpaceDE w:val="0"/>
        <w:autoSpaceDN w:val="0"/>
        <w:adjustRightInd w:val="0"/>
        <w:spacing w:line="480" w:lineRule="auto"/>
        <w:jc w:val="center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D6C5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842F4" w14:textId="77777777" w:rsidR="002D6C55" w:rsidRDefault="002D6C55" w:rsidP="00615718">
      <w:r>
        <w:separator/>
      </w:r>
    </w:p>
  </w:endnote>
  <w:endnote w:type="continuationSeparator" w:id="0">
    <w:p w14:paraId="728EA2F3" w14:textId="77777777" w:rsidR="002D6C55" w:rsidRDefault="002D6C55" w:rsidP="00615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7DDA" w14:textId="77777777" w:rsidR="002D6C55" w:rsidRDefault="002D6C55" w:rsidP="00615718">
      <w:r>
        <w:separator/>
      </w:r>
    </w:p>
  </w:footnote>
  <w:footnote w:type="continuationSeparator" w:id="0">
    <w:p w14:paraId="2C673C79" w14:textId="77777777" w:rsidR="002D6C55" w:rsidRDefault="002D6C55" w:rsidP="00615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39"/>
    <w:rsid w:val="00141B39"/>
    <w:rsid w:val="002D6C55"/>
    <w:rsid w:val="0061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28F9731"/>
  <w15:chartTrackingRefBased/>
  <w15:docId w15:val="{2A98594F-965D-4C00-8480-92BC0BCC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157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1571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157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157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