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7578" w14:textId="77777777" w:rsidR="00990A28" w:rsidRDefault="00990A28">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深圳证券交易所中小企业板块证券上市协议</w:t>
      </w:r>
    </w:p>
    <w:p w14:paraId="551D29A0" w14:textId="77777777" w:rsidR="00990A28" w:rsidRDefault="00990A28">
      <w:pPr>
        <w:autoSpaceDE w:val="0"/>
        <w:autoSpaceDN w:val="0"/>
        <w:adjustRightInd w:val="0"/>
        <w:spacing w:line="480" w:lineRule="auto"/>
        <w:jc w:val="left"/>
        <w:rPr>
          <w:rFonts w:ascii="宋体"/>
          <w:kern w:val="0"/>
          <w:sz w:val="24"/>
          <w:szCs w:val="20"/>
          <w:lang w:val="zh-CN"/>
        </w:rPr>
      </w:pPr>
    </w:p>
    <w:p w14:paraId="5AD2BF55" w14:textId="77777777" w:rsidR="00990A28" w:rsidRDefault="00990A28">
      <w:pPr>
        <w:autoSpaceDE w:val="0"/>
        <w:autoSpaceDN w:val="0"/>
        <w:adjustRightInd w:val="0"/>
        <w:spacing w:line="480" w:lineRule="auto"/>
        <w:jc w:val="left"/>
        <w:rPr>
          <w:rFonts w:ascii="宋体" w:hint="eastAsia"/>
          <w:kern w:val="0"/>
          <w:sz w:val="24"/>
          <w:szCs w:val="20"/>
          <w:lang w:val="zh-CN"/>
        </w:rPr>
      </w:pPr>
    </w:p>
    <w:p w14:paraId="62030268" w14:textId="77777777" w:rsidR="00990A28" w:rsidRDefault="00990A28">
      <w:pPr>
        <w:autoSpaceDE w:val="0"/>
        <w:autoSpaceDN w:val="0"/>
        <w:adjustRightInd w:val="0"/>
        <w:spacing w:line="480" w:lineRule="auto"/>
        <w:jc w:val="left"/>
        <w:rPr>
          <w:rFonts w:ascii="宋体" w:hint="eastAsia"/>
          <w:kern w:val="0"/>
          <w:sz w:val="24"/>
          <w:szCs w:val="20"/>
          <w:lang w:val="zh-CN"/>
        </w:rPr>
      </w:pPr>
    </w:p>
    <w:p w14:paraId="28804A84"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甲方：深圳证券交易所</w:t>
      </w:r>
    </w:p>
    <w:p w14:paraId="5CB771A8" w14:textId="77777777" w:rsidR="00990A28" w:rsidRDefault="00990A28">
      <w:pPr>
        <w:autoSpaceDE w:val="0"/>
        <w:autoSpaceDN w:val="0"/>
        <w:adjustRightInd w:val="0"/>
        <w:spacing w:line="480" w:lineRule="auto"/>
        <w:jc w:val="left"/>
        <w:rPr>
          <w:rFonts w:ascii="宋体"/>
          <w:kern w:val="0"/>
          <w:sz w:val="24"/>
          <w:szCs w:val="20"/>
          <w:lang w:val="zh-CN"/>
        </w:rPr>
      </w:pPr>
    </w:p>
    <w:p w14:paraId="049033B8" w14:textId="77777777" w:rsidR="00990A28" w:rsidRDefault="00990A2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2B1CCCB9" w14:textId="77777777" w:rsidR="00990A28" w:rsidRDefault="00990A28">
      <w:pPr>
        <w:autoSpaceDE w:val="0"/>
        <w:autoSpaceDN w:val="0"/>
        <w:adjustRightInd w:val="0"/>
        <w:spacing w:line="480" w:lineRule="auto"/>
        <w:jc w:val="left"/>
        <w:rPr>
          <w:rFonts w:ascii="宋体"/>
          <w:kern w:val="0"/>
          <w:sz w:val="24"/>
          <w:szCs w:val="20"/>
          <w:lang w:val="zh-CN"/>
        </w:rPr>
      </w:pPr>
    </w:p>
    <w:p w14:paraId="0AE69580"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B01FD22" w14:textId="77777777" w:rsidR="00990A28" w:rsidRDefault="00990A28">
      <w:pPr>
        <w:autoSpaceDE w:val="0"/>
        <w:autoSpaceDN w:val="0"/>
        <w:adjustRightInd w:val="0"/>
        <w:spacing w:line="480" w:lineRule="auto"/>
        <w:jc w:val="left"/>
        <w:rPr>
          <w:rFonts w:ascii="宋体"/>
          <w:kern w:val="0"/>
          <w:sz w:val="24"/>
          <w:szCs w:val="20"/>
          <w:lang w:val="zh-CN"/>
        </w:rPr>
      </w:pPr>
    </w:p>
    <w:p w14:paraId="2658CC95"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14:paraId="37AD31B1" w14:textId="77777777" w:rsidR="00990A28" w:rsidRDefault="00990A28">
      <w:pPr>
        <w:autoSpaceDE w:val="0"/>
        <w:autoSpaceDN w:val="0"/>
        <w:adjustRightInd w:val="0"/>
        <w:spacing w:line="480" w:lineRule="auto"/>
        <w:jc w:val="left"/>
        <w:rPr>
          <w:rFonts w:ascii="宋体"/>
          <w:kern w:val="0"/>
          <w:sz w:val="24"/>
          <w:szCs w:val="20"/>
          <w:lang w:val="zh-CN"/>
        </w:rPr>
      </w:pPr>
    </w:p>
    <w:p w14:paraId="0A582AAC"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7369B404" w14:textId="77777777" w:rsidR="00990A28" w:rsidRDefault="00990A28">
      <w:pPr>
        <w:autoSpaceDE w:val="0"/>
        <w:autoSpaceDN w:val="0"/>
        <w:adjustRightInd w:val="0"/>
        <w:spacing w:line="480" w:lineRule="auto"/>
        <w:jc w:val="left"/>
        <w:rPr>
          <w:rFonts w:ascii="宋体"/>
          <w:kern w:val="0"/>
          <w:sz w:val="24"/>
          <w:szCs w:val="20"/>
          <w:lang w:val="zh-CN"/>
        </w:rPr>
      </w:pPr>
    </w:p>
    <w:p w14:paraId="392BEBC0"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64FFE69C" w14:textId="77777777" w:rsidR="00990A28" w:rsidRDefault="00990A28">
      <w:pPr>
        <w:autoSpaceDE w:val="0"/>
        <w:autoSpaceDN w:val="0"/>
        <w:adjustRightInd w:val="0"/>
        <w:spacing w:line="480" w:lineRule="auto"/>
        <w:jc w:val="left"/>
        <w:rPr>
          <w:rFonts w:ascii="宋体"/>
          <w:kern w:val="0"/>
          <w:sz w:val="24"/>
          <w:szCs w:val="20"/>
          <w:lang w:val="zh-CN"/>
        </w:rPr>
      </w:pPr>
    </w:p>
    <w:p w14:paraId="483EE1E9"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2F6D8F6C" w14:textId="77777777" w:rsidR="00990A28" w:rsidRDefault="00990A28">
      <w:pPr>
        <w:autoSpaceDE w:val="0"/>
        <w:autoSpaceDN w:val="0"/>
        <w:adjustRightInd w:val="0"/>
        <w:spacing w:line="480" w:lineRule="auto"/>
        <w:jc w:val="left"/>
        <w:rPr>
          <w:rFonts w:ascii="宋体"/>
          <w:kern w:val="0"/>
          <w:sz w:val="24"/>
          <w:szCs w:val="20"/>
          <w:lang w:val="zh-CN"/>
        </w:rPr>
      </w:pPr>
    </w:p>
    <w:p w14:paraId="1923EBAB"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214B2E6" w14:textId="77777777" w:rsidR="00990A28" w:rsidRDefault="00990A28">
      <w:pPr>
        <w:autoSpaceDE w:val="0"/>
        <w:autoSpaceDN w:val="0"/>
        <w:adjustRightInd w:val="0"/>
        <w:spacing w:line="480" w:lineRule="auto"/>
        <w:jc w:val="left"/>
        <w:rPr>
          <w:rFonts w:ascii="宋体"/>
          <w:kern w:val="0"/>
          <w:sz w:val="24"/>
          <w:szCs w:val="20"/>
          <w:lang w:val="zh-CN"/>
        </w:rPr>
      </w:pPr>
    </w:p>
    <w:p w14:paraId="3F1FE8BD"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第一条为规范中小企业板块公司证券上市行为，根据《公司法》、《证券法》和《证券交易所管理暂行办法》，签订本协议。</w:t>
      </w:r>
    </w:p>
    <w:p w14:paraId="46306391" w14:textId="77777777" w:rsidR="00990A28" w:rsidRDefault="00990A28">
      <w:pPr>
        <w:autoSpaceDE w:val="0"/>
        <w:autoSpaceDN w:val="0"/>
        <w:adjustRightInd w:val="0"/>
        <w:spacing w:line="480" w:lineRule="auto"/>
        <w:jc w:val="left"/>
        <w:rPr>
          <w:rFonts w:ascii="宋体"/>
          <w:kern w:val="0"/>
          <w:sz w:val="24"/>
          <w:szCs w:val="20"/>
          <w:lang w:val="zh-CN"/>
        </w:rPr>
      </w:pPr>
    </w:p>
    <w:p w14:paraId="49688166"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第二条甲方依据有关规定，对乙方提交的全部上市申请文件进行审查，认为符合上市条件的，接受其证券上市。</w:t>
      </w:r>
    </w:p>
    <w:p w14:paraId="49390A15" w14:textId="77777777" w:rsidR="00990A28" w:rsidRDefault="00990A28">
      <w:pPr>
        <w:autoSpaceDE w:val="0"/>
        <w:autoSpaceDN w:val="0"/>
        <w:adjustRightInd w:val="0"/>
        <w:spacing w:line="480" w:lineRule="auto"/>
        <w:jc w:val="left"/>
        <w:rPr>
          <w:rFonts w:ascii="宋体"/>
          <w:kern w:val="0"/>
          <w:sz w:val="24"/>
          <w:szCs w:val="20"/>
          <w:lang w:val="zh-CN"/>
        </w:rPr>
      </w:pPr>
    </w:p>
    <w:p w14:paraId="2C44B447"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本协议所称证券包括股票、可转换公司债券及其他衍生品种。</w:t>
      </w:r>
    </w:p>
    <w:p w14:paraId="62C4C9CE" w14:textId="77777777" w:rsidR="00990A28" w:rsidRDefault="00990A28">
      <w:pPr>
        <w:autoSpaceDE w:val="0"/>
        <w:autoSpaceDN w:val="0"/>
        <w:adjustRightInd w:val="0"/>
        <w:spacing w:line="480" w:lineRule="auto"/>
        <w:jc w:val="left"/>
        <w:rPr>
          <w:rFonts w:ascii="宋体"/>
          <w:kern w:val="0"/>
          <w:sz w:val="24"/>
          <w:szCs w:val="20"/>
          <w:lang w:val="zh-CN"/>
        </w:rPr>
      </w:pPr>
    </w:p>
    <w:p w14:paraId="327EBEA6" w14:textId="77777777" w:rsidR="00990A28" w:rsidRDefault="00990A28">
      <w:pPr>
        <w:pStyle w:val="a4"/>
      </w:pPr>
      <w:r>
        <w:t xml:space="preserve">　　第三条乙方及其董事、监事、高级管理人员理解并同意遵守甲方不时修订的任何上市规则，包括但不限于《深圳证券交易所股票上市规则》、《深圳证券交易所可转换公司债券上市规则》、《深圳证券交易所中小企业板块上市公司特别规定》，并交纳任何到期的上市费用。</w:t>
      </w:r>
    </w:p>
    <w:p w14:paraId="4364C5D7" w14:textId="77777777" w:rsidR="00990A28" w:rsidRDefault="00990A28">
      <w:pPr>
        <w:autoSpaceDE w:val="0"/>
        <w:autoSpaceDN w:val="0"/>
        <w:adjustRightInd w:val="0"/>
        <w:spacing w:line="480" w:lineRule="auto"/>
        <w:jc w:val="left"/>
        <w:rPr>
          <w:rFonts w:ascii="宋体"/>
          <w:kern w:val="0"/>
          <w:sz w:val="24"/>
          <w:szCs w:val="20"/>
          <w:lang w:val="zh-CN"/>
        </w:rPr>
      </w:pPr>
    </w:p>
    <w:p w14:paraId="0C06934A"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第四条乙方同意以下有关涉及终止上市的安排，承诺将其载入公司章程并遵守：</w:t>
      </w:r>
    </w:p>
    <w:p w14:paraId="734D2A9D" w14:textId="77777777" w:rsidR="00990A28" w:rsidRDefault="00990A28">
      <w:pPr>
        <w:autoSpaceDE w:val="0"/>
        <w:autoSpaceDN w:val="0"/>
        <w:adjustRightInd w:val="0"/>
        <w:spacing w:line="480" w:lineRule="auto"/>
        <w:jc w:val="left"/>
        <w:rPr>
          <w:rFonts w:ascii="宋体"/>
          <w:kern w:val="0"/>
          <w:sz w:val="24"/>
          <w:szCs w:val="20"/>
          <w:lang w:val="zh-CN"/>
        </w:rPr>
      </w:pPr>
    </w:p>
    <w:p w14:paraId="7268B3BB"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（一）乙方股票被终止上市后，将进入代办股份转让系统继续交易。</w:t>
      </w:r>
    </w:p>
    <w:p w14:paraId="35C3FFF3" w14:textId="77777777" w:rsidR="00990A28" w:rsidRDefault="00990A28">
      <w:pPr>
        <w:autoSpaceDE w:val="0"/>
        <w:autoSpaceDN w:val="0"/>
        <w:adjustRightInd w:val="0"/>
        <w:spacing w:line="480" w:lineRule="auto"/>
        <w:jc w:val="left"/>
        <w:rPr>
          <w:rFonts w:ascii="宋体"/>
          <w:kern w:val="0"/>
          <w:sz w:val="24"/>
          <w:szCs w:val="20"/>
          <w:lang w:val="zh-CN"/>
        </w:rPr>
      </w:pPr>
    </w:p>
    <w:p w14:paraId="3B3EE039"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（二）乙方股东大会如对上述内容作出修改，应当得到乙方所有流通股股东所持表决权三分之二以上同意。</w:t>
      </w:r>
    </w:p>
    <w:p w14:paraId="762CC777" w14:textId="77777777" w:rsidR="00990A28" w:rsidRDefault="00990A28">
      <w:pPr>
        <w:autoSpaceDE w:val="0"/>
        <w:autoSpaceDN w:val="0"/>
        <w:adjustRightInd w:val="0"/>
        <w:spacing w:line="480" w:lineRule="auto"/>
        <w:jc w:val="left"/>
        <w:rPr>
          <w:rFonts w:ascii="宋体"/>
          <w:kern w:val="0"/>
          <w:sz w:val="24"/>
          <w:szCs w:val="20"/>
          <w:lang w:val="zh-CN"/>
        </w:rPr>
      </w:pPr>
    </w:p>
    <w:p w14:paraId="2EED1B7D"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第五条乙方承诺在其股票上市后六个月内，与具有从事代办股份转让主办券商</w:t>
      </w:r>
      <w:r>
        <w:rPr>
          <w:rFonts w:ascii="宋体" w:hint="eastAsia"/>
          <w:kern w:val="0"/>
          <w:sz w:val="24"/>
          <w:szCs w:val="20"/>
          <w:lang w:val="zh-CN"/>
        </w:rPr>
        <w:lastRenderedPageBreak/>
        <w:t>业务资格的证券公司签订《委托代办股份转让协议》，约定一旦乙方股票终止上市，该证券公司立即成为其代办股份转让的主办券商。上述协议于乙方终止上市之日起生效。</w:t>
      </w:r>
    </w:p>
    <w:p w14:paraId="59445C9B" w14:textId="77777777" w:rsidR="00990A28" w:rsidRDefault="00990A28">
      <w:pPr>
        <w:autoSpaceDE w:val="0"/>
        <w:autoSpaceDN w:val="0"/>
        <w:adjustRightInd w:val="0"/>
        <w:spacing w:line="480" w:lineRule="auto"/>
        <w:jc w:val="left"/>
        <w:rPr>
          <w:rFonts w:ascii="宋体"/>
          <w:kern w:val="0"/>
          <w:sz w:val="24"/>
          <w:szCs w:val="20"/>
          <w:lang w:val="zh-CN"/>
        </w:rPr>
      </w:pPr>
    </w:p>
    <w:p w14:paraId="2EA18A1D"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第六条乙方承诺在其股票上市后六个月内建立内部审计制度，监督、核查公司财务制度的执行情况和财务状况。</w:t>
      </w:r>
    </w:p>
    <w:p w14:paraId="063C5248" w14:textId="77777777" w:rsidR="00990A28" w:rsidRDefault="00990A28">
      <w:pPr>
        <w:autoSpaceDE w:val="0"/>
        <w:autoSpaceDN w:val="0"/>
        <w:adjustRightInd w:val="0"/>
        <w:spacing w:line="480" w:lineRule="auto"/>
        <w:jc w:val="left"/>
        <w:rPr>
          <w:rFonts w:ascii="宋体"/>
          <w:kern w:val="0"/>
          <w:sz w:val="24"/>
          <w:szCs w:val="20"/>
          <w:lang w:val="zh-CN"/>
        </w:rPr>
      </w:pPr>
    </w:p>
    <w:p w14:paraId="532D3C2B"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乙方应当遵守对其适用的任何法律、法规、规章和甲方有关规则、办法和通知等规定，包括但不限于上述第三条中的规则。乙方及其董事、监事和高级管理人员在上市时和上市后作出的各种承诺，作为本协议不可分割的一部分，应当遵守。</w:t>
      </w:r>
    </w:p>
    <w:p w14:paraId="096A1750" w14:textId="77777777" w:rsidR="00990A28" w:rsidRDefault="00990A28">
      <w:pPr>
        <w:autoSpaceDE w:val="0"/>
        <w:autoSpaceDN w:val="0"/>
        <w:adjustRightInd w:val="0"/>
        <w:spacing w:line="480" w:lineRule="auto"/>
        <w:jc w:val="left"/>
        <w:rPr>
          <w:rFonts w:ascii="宋体"/>
          <w:kern w:val="0"/>
          <w:sz w:val="24"/>
          <w:szCs w:val="20"/>
          <w:lang w:val="zh-CN"/>
        </w:rPr>
      </w:pPr>
    </w:p>
    <w:p w14:paraId="460D1BCC"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第八条甲方依据有关法律、法规、规章及《深圳证券交易所股票上市规则》、《深圳证券交易所可转换公司债券上市规则》、《深圳证券交易所中小企业板块上市公司特别规定》的规定，对乙方实施日常监管。</w:t>
      </w:r>
    </w:p>
    <w:p w14:paraId="7FF042BD" w14:textId="77777777" w:rsidR="00990A28" w:rsidRDefault="00990A28">
      <w:pPr>
        <w:autoSpaceDE w:val="0"/>
        <w:autoSpaceDN w:val="0"/>
        <w:adjustRightInd w:val="0"/>
        <w:spacing w:line="480" w:lineRule="auto"/>
        <w:jc w:val="left"/>
        <w:rPr>
          <w:rFonts w:ascii="宋体"/>
          <w:kern w:val="0"/>
          <w:sz w:val="24"/>
          <w:szCs w:val="20"/>
          <w:lang w:val="zh-CN"/>
        </w:rPr>
      </w:pPr>
    </w:p>
    <w:p w14:paraId="3F3D4080"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第九条乙方应当向甲方交纳上市费。上市费分为上市初费和上市月费。</w:t>
      </w:r>
    </w:p>
    <w:p w14:paraId="2BE04172" w14:textId="77777777" w:rsidR="00990A28" w:rsidRDefault="00990A28">
      <w:pPr>
        <w:autoSpaceDE w:val="0"/>
        <w:autoSpaceDN w:val="0"/>
        <w:adjustRightInd w:val="0"/>
        <w:spacing w:line="480" w:lineRule="auto"/>
        <w:jc w:val="left"/>
        <w:rPr>
          <w:rFonts w:ascii="宋体"/>
          <w:kern w:val="0"/>
          <w:sz w:val="24"/>
          <w:szCs w:val="20"/>
          <w:lang w:val="zh-CN"/>
        </w:rPr>
      </w:pPr>
    </w:p>
    <w:p w14:paraId="553B8F2D"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股票上市初费为</w:t>
      </w:r>
      <w:r>
        <w:rPr>
          <w:rFonts w:ascii="宋体"/>
          <w:kern w:val="0"/>
          <w:sz w:val="24"/>
          <w:szCs w:val="20"/>
          <w:lang w:val="zh-CN"/>
        </w:rPr>
        <w:t>30</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元。上市月费的收取以总股本为收费依据，总股本不超过</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万的，每月交纳</w:t>
      </w:r>
      <w:r>
        <w:rPr>
          <w:rFonts w:ascii="宋体"/>
          <w:kern w:val="0"/>
          <w:sz w:val="24"/>
          <w:szCs w:val="20"/>
          <w:lang w:val="zh-CN"/>
        </w:rPr>
        <w:t>500</w:t>
      </w:r>
      <w:r>
        <w:rPr>
          <w:rFonts w:ascii="宋体" w:hint="eastAsia"/>
          <w:kern w:val="0"/>
          <w:sz w:val="24"/>
          <w:szCs w:val="20"/>
          <w:lang w:val="zh-CN"/>
        </w:rPr>
        <w:t>元；超过</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万的，每增加</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万，月费增加</w:t>
      </w:r>
      <w:r>
        <w:rPr>
          <w:rFonts w:ascii="宋体"/>
          <w:kern w:val="0"/>
          <w:sz w:val="24"/>
          <w:szCs w:val="20"/>
          <w:lang w:val="zh-CN"/>
        </w:rPr>
        <w:t>100</w:t>
      </w:r>
      <w:r>
        <w:rPr>
          <w:rFonts w:ascii="宋体" w:hint="eastAsia"/>
          <w:kern w:val="0"/>
          <w:sz w:val="24"/>
          <w:szCs w:val="20"/>
          <w:lang w:val="zh-CN"/>
        </w:rPr>
        <w:t>元，最高不超过</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500</w:t>
      </w:r>
      <w:r>
        <w:rPr>
          <w:rFonts w:ascii="宋体" w:hint="eastAsia"/>
          <w:kern w:val="0"/>
          <w:sz w:val="24"/>
          <w:szCs w:val="20"/>
          <w:lang w:val="zh-CN"/>
        </w:rPr>
        <w:t>元。</w:t>
      </w:r>
    </w:p>
    <w:p w14:paraId="68F0863D" w14:textId="77777777" w:rsidR="00990A28" w:rsidRDefault="00990A28">
      <w:pPr>
        <w:autoSpaceDE w:val="0"/>
        <w:autoSpaceDN w:val="0"/>
        <w:adjustRightInd w:val="0"/>
        <w:spacing w:line="480" w:lineRule="auto"/>
        <w:jc w:val="left"/>
        <w:rPr>
          <w:rFonts w:ascii="宋体"/>
          <w:kern w:val="0"/>
          <w:sz w:val="24"/>
          <w:szCs w:val="20"/>
          <w:lang w:val="zh-CN"/>
        </w:rPr>
      </w:pPr>
    </w:p>
    <w:p w14:paraId="6E5ACAA4"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可转换债券上市初费按可转换债券总额的</w:t>
      </w:r>
      <w:r>
        <w:rPr>
          <w:rFonts w:ascii="宋体"/>
          <w:kern w:val="0"/>
          <w:sz w:val="24"/>
          <w:szCs w:val="20"/>
          <w:lang w:val="zh-CN"/>
        </w:rPr>
        <w:t>0.01%</w:t>
      </w:r>
      <w:r>
        <w:rPr>
          <w:rFonts w:ascii="宋体" w:hint="eastAsia"/>
          <w:kern w:val="0"/>
          <w:sz w:val="24"/>
          <w:szCs w:val="20"/>
          <w:lang w:val="zh-CN"/>
        </w:rPr>
        <w:t>缴纳，最高不超过</w:t>
      </w:r>
      <w:r>
        <w:rPr>
          <w:rFonts w:ascii="宋体"/>
          <w:kern w:val="0"/>
          <w:sz w:val="24"/>
          <w:szCs w:val="20"/>
          <w:lang w:val="zh-CN"/>
        </w:rPr>
        <w:t>30</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元。上市月费的收取以可转换债券总额为收费依据，可转换债券总额不超过</w:t>
      </w:r>
      <w:r>
        <w:rPr>
          <w:rFonts w:ascii="宋体"/>
          <w:kern w:val="0"/>
          <w:sz w:val="24"/>
          <w:szCs w:val="20"/>
          <w:lang w:val="zh-CN"/>
        </w:rPr>
        <w:t>1</w:t>
      </w:r>
      <w:r>
        <w:rPr>
          <w:rFonts w:ascii="宋体" w:hint="eastAsia"/>
          <w:kern w:val="0"/>
          <w:sz w:val="24"/>
          <w:szCs w:val="20"/>
          <w:lang w:val="zh-CN"/>
        </w:rPr>
        <w:t>亿元的，每月交纳</w:t>
      </w:r>
      <w:r>
        <w:rPr>
          <w:rFonts w:ascii="宋体"/>
          <w:kern w:val="0"/>
          <w:sz w:val="24"/>
          <w:szCs w:val="20"/>
          <w:lang w:val="zh-CN"/>
        </w:rPr>
        <w:t>500</w:t>
      </w:r>
      <w:r>
        <w:rPr>
          <w:rFonts w:ascii="宋体" w:hint="eastAsia"/>
          <w:kern w:val="0"/>
          <w:sz w:val="24"/>
          <w:szCs w:val="20"/>
          <w:lang w:val="zh-CN"/>
        </w:rPr>
        <w:t>元；超过</w:t>
      </w:r>
      <w:r>
        <w:rPr>
          <w:rFonts w:ascii="宋体"/>
          <w:kern w:val="0"/>
          <w:sz w:val="24"/>
          <w:szCs w:val="20"/>
          <w:lang w:val="zh-CN"/>
        </w:rPr>
        <w:t>1</w:t>
      </w:r>
      <w:r>
        <w:rPr>
          <w:rFonts w:ascii="宋体" w:hint="eastAsia"/>
          <w:kern w:val="0"/>
          <w:sz w:val="24"/>
          <w:szCs w:val="20"/>
          <w:lang w:val="zh-CN"/>
        </w:rPr>
        <w:t>亿元的，每增加</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万元，月费增加</w:t>
      </w:r>
      <w:r>
        <w:rPr>
          <w:rFonts w:ascii="宋体"/>
          <w:kern w:val="0"/>
          <w:sz w:val="24"/>
          <w:szCs w:val="20"/>
          <w:lang w:val="zh-CN"/>
        </w:rPr>
        <w:t>10</w:t>
      </w:r>
      <w:r>
        <w:rPr>
          <w:rFonts w:ascii="宋体"/>
          <w:kern w:val="0"/>
          <w:sz w:val="24"/>
          <w:szCs w:val="20"/>
          <w:lang w:val="zh-CN"/>
        </w:rPr>
        <w:t>0</w:t>
      </w:r>
      <w:r>
        <w:rPr>
          <w:rFonts w:ascii="宋体" w:hint="eastAsia"/>
          <w:kern w:val="0"/>
          <w:sz w:val="24"/>
          <w:szCs w:val="20"/>
          <w:lang w:val="zh-CN"/>
        </w:rPr>
        <w:t>元，最高不超过</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000</w:t>
      </w:r>
      <w:r>
        <w:rPr>
          <w:rFonts w:ascii="宋体" w:hint="eastAsia"/>
          <w:kern w:val="0"/>
          <w:sz w:val="24"/>
          <w:szCs w:val="20"/>
          <w:lang w:val="zh-CN"/>
        </w:rPr>
        <w:t>元。</w:t>
      </w:r>
    </w:p>
    <w:p w14:paraId="2C1CF8C7" w14:textId="77777777" w:rsidR="00990A28" w:rsidRDefault="00990A28">
      <w:pPr>
        <w:autoSpaceDE w:val="0"/>
        <w:autoSpaceDN w:val="0"/>
        <w:adjustRightInd w:val="0"/>
        <w:spacing w:line="480" w:lineRule="auto"/>
        <w:jc w:val="left"/>
        <w:rPr>
          <w:rFonts w:ascii="宋体"/>
          <w:kern w:val="0"/>
          <w:sz w:val="24"/>
          <w:szCs w:val="20"/>
          <w:lang w:val="zh-CN"/>
        </w:rPr>
      </w:pPr>
    </w:p>
    <w:p w14:paraId="6E80C63A"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其他衍生品种的收费标准由甲方经有关主管机关批准后予以实施。</w:t>
      </w:r>
    </w:p>
    <w:p w14:paraId="5D419A67" w14:textId="77777777" w:rsidR="00990A28" w:rsidRDefault="00990A28">
      <w:pPr>
        <w:autoSpaceDE w:val="0"/>
        <w:autoSpaceDN w:val="0"/>
        <w:adjustRightInd w:val="0"/>
        <w:spacing w:line="480" w:lineRule="auto"/>
        <w:jc w:val="left"/>
        <w:rPr>
          <w:rFonts w:ascii="宋体"/>
          <w:kern w:val="0"/>
          <w:sz w:val="24"/>
          <w:szCs w:val="20"/>
          <w:lang w:val="zh-CN"/>
        </w:rPr>
      </w:pPr>
    </w:p>
    <w:p w14:paraId="38CD3AA9"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经有关主管机关批准，甲方可以对上述收费标准进行调整。</w:t>
      </w:r>
    </w:p>
    <w:p w14:paraId="345025AF" w14:textId="77777777" w:rsidR="00990A28" w:rsidRDefault="00990A28">
      <w:pPr>
        <w:autoSpaceDE w:val="0"/>
        <w:autoSpaceDN w:val="0"/>
        <w:adjustRightInd w:val="0"/>
        <w:spacing w:line="480" w:lineRule="auto"/>
        <w:jc w:val="left"/>
        <w:rPr>
          <w:rFonts w:ascii="宋体"/>
          <w:kern w:val="0"/>
          <w:sz w:val="24"/>
          <w:szCs w:val="20"/>
          <w:lang w:val="zh-CN"/>
        </w:rPr>
      </w:pPr>
    </w:p>
    <w:p w14:paraId="01C27E93"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第十条上市初费应当在上市日前三个工作日交纳。上市月费自上市后第二个月至终止上市的当月止，在每月五日前交纳，也可以按季度和年度预交。逾期交纳上市费用，甲方每日按应交纳金额的</w:t>
      </w:r>
      <w:r>
        <w:rPr>
          <w:rFonts w:ascii="宋体"/>
          <w:kern w:val="0"/>
          <w:sz w:val="24"/>
          <w:szCs w:val="20"/>
          <w:lang w:val="zh-CN"/>
        </w:rPr>
        <w:t>0.03%</w:t>
      </w:r>
      <w:r>
        <w:rPr>
          <w:rFonts w:ascii="宋体" w:hint="eastAsia"/>
          <w:kern w:val="0"/>
          <w:sz w:val="24"/>
          <w:szCs w:val="20"/>
          <w:lang w:val="zh-CN"/>
        </w:rPr>
        <w:t>收取滞纳金。</w:t>
      </w:r>
    </w:p>
    <w:p w14:paraId="1D7E7245" w14:textId="77777777" w:rsidR="00990A28" w:rsidRDefault="00990A28">
      <w:pPr>
        <w:autoSpaceDE w:val="0"/>
        <w:autoSpaceDN w:val="0"/>
        <w:adjustRightInd w:val="0"/>
        <w:spacing w:line="480" w:lineRule="auto"/>
        <w:jc w:val="left"/>
        <w:rPr>
          <w:rFonts w:ascii="宋体"/>
          <w:kern w:val="0"/>
          <w:sz w:val="24"/>
          <w:szCs w:val="20"/>
          <w:lang w:val="zh-CN"/>
        </w:rPr>
      </w:pPr>
    </w:p>
    <w:p w14:paraId="16F282A2"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第十一条乙方证券暂停上市后恢复上市，不再交纳上市初费；乙方证券被终止上市后，已经交纳的上市费不予返还。</w:t>
      </w:r>
    </w:p>
    <w:p w14:paraId="708A48DB" w14:textId="77777777" w:rsidR="00990A28" w:rsidRDefault="00990A28">
      <w:pPr>
        <w:autoSpaceDE w:val="0"/>
        <w:autoSpaceDN w:val="0"/>
        <w:adjustRightInd w:val="0"/>
        <w:spacing w:line="480" w:lineRule="auto"/>
        <w:jc w:val="left"/>
        <w:rPr>
          <w:rFonts w:ascii="宋体"/>
          <w:kern w:val="0"/>
          <w:sz w:val="24"/>
          <w:szCs w:val="20"/>
          <w:lang w:val="zh-CN"/>
        </w:rPr>
      </w:pPr>
    </w:p>
    <w:p w14:paraId="0419E8C2"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第十二条乙方同意以书面形式及时通知甲方任何导致乙方不再符合上市要求的公司行为或其他事件。</w:t>
      </w:r>
    </w:p>
    <w:p w14:paraId="7102FCDE" w14:textId="77777777" w:rsidR="00990A28" w:rsidRDefault="00990A28">
      <w:pPr>
        <w:autoSpaceDE w:val="0"/>
        <w:autoSpaceDN w:val="0"/>
        <w:adjustRightInd w:val="0"/>
        <w:spacing w:line="480" w:lineRule="auto"/>
        <w:jc w:val="left"/>
        <w:rPr>
          <w:rFonts w:ascii="宋体"/>
          <w:kern w:val="0"/>
          <w:sz w:val="24"/>
          <w:szCs w:val="20"/>
          <w:lang w:val="zh-CN"/>
        </w:rPr>
      </w:pPr>
    </w:p>
    <w:p w14:paraId="1AABB8CD"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第十三条本协议的执行与解释适用中华人民共和国法律。</w:t>
      </w:r>
    </w:p>
    <w:p w14:paraId="48DD5688" w14:textId="77777777" w:rsidR="00990A28" w:rsidRDefault="00990A28">
      <w:pPr>
        <w:autoSpaceDE w:val="0"/>
        <w:autoSpaceDN w:val="0"/>
        <w:adjustRightInd w:val="0"/>
        <w:spacing w:line="480" w:lineRule="auto"/>
        <w:jc w:val="left"/>
        <w:rPr>
          <w:rFonts w:ascii="宋体"/>
          <w:kern w:val="0"/>
          <w:sz w:val="24"/>
          <w:szCs w:val="20"/>
          <w:lang w:val="zh-CN"/>
        </w:rPr>
      </w:pPr>
    </w:p>
    <w:p w14:paraId="6E4D72E0"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与本协议有关或因执行本协议所发生的一切争议及纠纷，甲乙双方应首先通过友好协商解决。若自争议或者纠纷发生日之后的三十天内未能通过协商解决，任何一方均可将该项争议提交中国国际经济贸易仲裁委员会（深圳分会）按照当时适用的仲裁规则进行仲裁。仲裁裁决为最终裁决，对双方均具有法律约束力。</w:t>
      </w:r>
    </w:p>
    <w:p w14:paraId="2C3CE28E" w14:textId="77777777" w:rsidR="00990A28" w:rsidRDefault="00990A28">
      <w:pPr>
        <w:autoSpaceDE w:val="0"/>
        <w:autoSpaceDN w:val="0"/>
        <w:adjustRightInd w:val="0"/>
        <w:spacing w:line="480" w:lineRule="auto"/>
        <w:jc w:val="left"/>
        <w:rPr>
          <w:rFonts w:ascii="宋体"/>
          <w:kern w:val="0"/>
          <w:sz w:val="24"/>
          <w:szCs w:val="20"/>
          <w:lang w:val="zh-CN"/>
        </w:rPr>
      </w:pPr>
    </w:p>
    <w:p w14:paraId="36CC19B5"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第十五条本协议自双方签字盖章之日起生效。双方可以以书面方式对本协议作出修改和补充，经双方签字盖章的有关本协议的修改协议和补充协议是本协议的组成部分，与本协议具有同等法律效力。</w:t>
      </w:r>
    </w:p>
    <w:p w14:paraId="4F031077" w14:textId="77777777" w:rsidR="00990A28" w:rsidRDefault="00990A28">
      <w:pPr>
        <w:autoSpaceDE w:val="0"/>
        <w:autoSpaceDN w:val="0"/>
        <w:adjustRightInd w:val="0"/>
        <w:spacing w:line="480" w:lineRule="auto"/>
        <w:jc w:val="left"/>
        <w:rPr>
          <w:rFonts w:ascii="宋体"/>
          <w:kern w:val="0"/>
          <w:sz w:val="24"/>
          <w:szCs w:val="20"/>
          <w:lang w:val="zh-CN"/>
        </w:rPr>
      </w:pPr>
    </w:p>
    <w:p w14:paraId="439B8BA8"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第十六条本协议一式四份，双方各执二份。</w:t>
      </w:r>
    </w:p>
    <w:p w14:paraId="4149917C" w14:textId="77777777" w:rsidR="00990A28" w:rsidRDefault="00990A28">
      <w:pPr>
        <w:autoSpaceDE w:val="0"/>
        <w:autoSpaceDN w:val="0"/>
        <w:adjustRightInd w:val="0"/>
        <w:spacing w:line="480" w:lineRule="auto"/>
        <w:jc w:val="left"/>
        <w:rPr>
          <w:rFonts w:ascii="宋体"/>
          <w:kern w:val="0"/>
          <w:sz w:val="24"/>
          <w:szCs w:val="20"/>
          <w:lang w:val="zh-CN"/>
        </w:rPr>
      </w:pPr>
    </w:p>
    <w:p w14:paraId="3E5F19A3"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14:paraId="61676904" w14:textId="77777777" w:rsidR="00990A28" w:rsidRDefault="00990A28">
      <w:pPr>
        <w:autoSpaceDE w:val="0"/>
        <w:autoSpaceDN w:val="0"/>
        <w:adjustRightInd w:val="0"/>
        <w:spacing w:line="480" w:lineRule="auto"/>
        <w:jc w:val="left"/>
        <w:rPr>
          <w:rFonts w:ascii="宋体"/>
          <w:kern w:val="0"/>
          <w:sz w:val="24"/>
          <w:szCs w:val="20"/>
          <w:lang w:val="zh-CN"/>
        </w:rPr>
      </w:pPr>
    </w:p>
    <w:p w14:paraId="5734A062" w14:textId="77777777" w:rsidR="00990A28" w:rsidRDefault="00990A2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18F9B8F4" w14:textId="77777777" w:rsidR="00990A28" w:rsidRDefault="00990A28">
      <w:pPr>
        <w:autoSpaceDE w:val="0"/>
        <w:autoSpaceDN w:val="0"/>
        <w:adjustRightInd w:val="0"/>
        <w:spacing w:line="480" w:lineRule="auto"/>
        <w:jc w:val="left"/>
        <w:rPr>
          <w:rFonts w:ascii="宋体"/>
          <w:kern w:val="0"/>
          <w:sz w:val="24"/>
          <w:szCs w:val="20"/>
          <w:lang w:val="zh-CN"/>
        </w:rPr>
      </w:pPr>
    </w:p>
    <w:p w14:paraId="3F392AF4" w14:textId="77777777" w:rsidR="00990A28" w:rsidRDefault="00990A28">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990A2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D2989" w14:textId="77777777" w:rsidR="00990A28" w:rsidRDefault="00990A28" w:rsidP="002654C3">
      <w:r>
        <w:separator/>
      </w:r>
    </w:p>
  </w:endnote>
  <w:endnote w:type="continuationSeparator" w:id="0">
    <w:p w14:paraId="56462608" w14:textId="77777777" w:rsidR="00990A28" w:rsidRDefault="00990A28" w:rsidP="00265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CF7F8" w14:textId="77777777" w:rsidR="00990A28" w:rsidRDefault="00990A28" w:rsidP="002654C3">
      <w:r>
        <w:separator/>
      </w:r>
    </w:p>
  </w:footnote>
  <w:footnote w:type="continuationSeparator" w:id="0">
    <w:p w14:paraId="0B3B1339" w14:textId="77777777" w:rsidR="00990A28" w:rsidRDefault="00990A28" w:rsidP="00265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00995866">
    <w:abstractNumId w:val="7"/>
  </w:num>
  <w:num w:numId="2" w16cid:durableId="2034768102">
    <w:abstractNumId w:val="4"/>
  </w:num>
  <w:num w:numId="3" w16cid:durableId="1450473431">
    <w:abstractNumId w:val="14"/>
  </w:num>
  <w:num w:numId="4" w16cid:durableId="1164399371">
    <w:abstractNumId w:val="2"/>
  </w:num>
  <w:num w:numId="5" w16cid:durableId="634873000">
    <w:abstractNumId w:val="3"/>
  </w:num>
  <w:num w:numId="6" w16cid:durableId="1118333985">
    <w:abstractNumId w:val="5"/>
  </w:num>
  <w:num w:numId="7" w16cid:durableId="134835260">
    <w:abstractNumId w:val="0"/>
  </w:num>
  <w:num w:numId="8" w16cid:durableId="334848522">
    <w:abstractNumId w:val="17"/>
  </w:num>
  <w:num w:numId="9" w16cid:durableId="1665233207">
    <w:abstractNumId w:val="13"/>
  </w:num>
  <w:num w:numId="10" w16cid:durableId="151337802">
    <w:abstractNumId w:val="15"/>
  </w:num>
  <w:num w:numId="11" w16cid:durableId="883298014">
    <w:abstractNumId w:val="16"/>
  </w:num>
  <w:num w:numId="12" w16cid:durableId="471942802">
    <w:abstractNumId w:val="8"/>
  </w:num>
  <w:num w:numId="13" w16cid:durableId="299844938">
    <w:abstractNumId w:val="12"/>
  </w:num>
  <w:num w:numId="14" w16cid:durableId="2011978125">
    <w:abstractNumId w:val="10"/>
  </w:num>
  <w:num w:numId="15" w16cid:durableId="1359501947">
    <w:abstractNumId w:val="6"/>
  </w:num>
  <w:num w:numId="16" w16cid:durableId="1645041412">
    <w:abstractNumId w:val="1"/>
  </w:num>
  <w:num w:numId="17" w16cid:durableId="119037294">
    <w:abstractNumId w:val="11"/>
  </w:num>
  <w:num w:numId="18" w16cid:durableId="489105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4011"/>
    <w:rsid w:val="00084011"/>
    <w:rsid w:val="002654C3"/>
    <w:rsid w:val="0099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DDC11C1"/>
  <w15:chartTrackingRefBased/>
  <w15:docId w15:val="{3D9C44A0-ED14-46C0-82C4-D6C14D93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654C3"/>
    <w:pPr>
      <w:tabs>
        <w:tab w:val="center" w:pos="4153"/>
        <w:tab w:val="right" w:pos="8306"/>
      </w:tabs>
      <w:snapToGrid w:val="0"/>
      <w:jc w:val="center"/>
    </w:pPr>
    <w:rPr>
      <w:sz w:val="18"/>
      <w:szCs w:val="18"/>
    </w:rPr>
  </w:style>
  <w:style w:type="character" w:customStyle="1" w:styleId="a6">
    <w:name w:val="页眉 字符"/>
    <w:basedOn w:val="a0"/>
    <w:link w:val="a5"/>
    <w:uiPriority w:val="99"/>
    <w:rsid w:val="002654C3"/>
    <w:rPr>
      <w:kern w:val="2"/>
      <w:sz w:val="18"/>
      <w:szCs w:val="18"/>
    </w:rPr>
  </w:style>
  <w:style w:type="paragraph" w:styleId="a7">
    <w:name w:val="footer"/>
    <w:basedOn w:val="a"/>
    <w:link w:val="a8"/>
    <w:uiPriority w:val="99"/>
    <w:unhideWhenUsed/>
    <w:rsid w:val="002654C3"/>
    <w:pPr>
      <w:tabs>
        <w:tab w:val="center" w:pos="4153"/>
        <w:tab w:val="right" w:pos="8306"/>
      </w:tabs>
      <w:snapToGrid w:val="0"/>
      <w:jc w:val="left"/>
    </w:pPr>
    <w:rPr>
      <w:sz w:val="18"/>
      <w:szCs w:val="18"/>
    </w:rPr>
  </w:style>
  <w:style w:type="character" w:customStyle="1" w:styleId="a8">
    <w:name w:val="页脚 字符"/>
    <w:basedOn w:val="a0"/>
    <w:link w:val="a7"/>
    <w:uiPriority w:val="99"/>
    <w:rsid w:val="002654C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307</Words>
  <Characters>1755</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