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18E2" w:rsidRDefault="009D18E2">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rsidR="009D18E2" w:rsidRDefault="009D18E2">
      <w:pPr>
        <w:autoSpaceDE w:val="0"/>
        <w:autoSpaceDN w:val="0"/>
        <w:adjustRightInd w:val="0"/>
        <w:spacing w:line="480" w:lineRule="auto"/>
        <w:jc w:val="left"/>
        <w:rPr>
          <w:rFonts w:ascii="宋体" w:hint="eastAsia"/>
          <w:kern w:val="0"/>
          <w:sz w:val="24"/>
          <w:szCs w:val="20"/>
          <w:lang w:val="zh-CN"/>
        </w:rPr>
      </w:pPr>
    </w:p>
    <w:p w:rsidR="009D18E2" w:rsidRDefault="009D18E2">
      <w:pPr>
        <w:autoSpaceDE w:val="0"/>
        <w:autoSpaceDN w:val="0"/>
        <w:adjustRightInd w:val="0"/>
        <w:spacing w:line="480" w:lineRule="auto"/>
        <w:jc w:val="left"/>
        <w:rPr>
          <w:rFonts w:ascii="宋体" w:hint="eastAsia"/>
          <w:kern w:val="0"/>
          <w:sz w:val="24"/>
          <w:szCs w:val="20"/>
          <w:lang w:val="zh-CN"/>
        </w:rPr>
      </w:pPr>
    </w:p>
    <w:p w:rsidR="009D18E2" w:rsidRDefault="009D18E2">
      <w:pPr>
        <w:autoSpaceDE w:val="0"/>
        <w:autoSpaceDN w:val="0"/>
        <w:adjustRightInd w:val="0"/>
        <w:spacing w:line="480" w:lineRule="auto"/>
        <w:jc w:val="center"/>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hint="eastAsia"/>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工程编号：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根据《中华人民共和国经济合同法》和《建筑安装工程承包合同条例》及有关规定，为明确双方在施工过程中的权利、义务和经济责任，经双方协商同意签订本合同。</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工程项目</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二、工程地点：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三、工程项目批准单位：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批准文号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（指此工程立项有权批准机关的文号）项目主管单位：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四、承包范围和内容：（详见工程项目一览表）；工程建筑面积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（平方米）；其它：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五、工程造价：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（万元），其中土建：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（万元），安装：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施工准备</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一、发包方：</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日前做好建筑红线以外的</w:t>
      </w:r>
      <w:r>
        <w:rPr>
          <w:rFonts w:ascii="宋体"/>
          <w:kern w:val="0"/>
          <w:sz w:val="24"/>
          <w:szCs w:val="20"/>
          <w:lang w:val="zh-CN"/>
        </w:rPr>
        <w:t>“</w:t>
      </w:r>
      <w:r>
        <w:rPr>
          <w:rFonts w:ascii="宋体" w:hint="eastAsia"/>
          <w:kern w:val="0"/>
          <w:sz w:val="24"/>
          <w:szCs w:val="20"/>
          <w:lang w:val="zh-CN"/>
        </w:rPr>
        <w:t>三通</w:t>
      </w:r>
      <w:r>
        <w:rPr>
          <w:rFonts w:ascii="宋体"/>
          <w:kern w:val="0"/>
          <w:sz w:val="24"/>
          <w:szCs w:val="20"/>
          <w:lang w:val="zh-CN"/>
        </w:rPr>
        <w:t>”</w:t>
      </w:r>
      <w:r>
        <w:rPr>
          <w:rFonts w:ascii="宋体" w:hint="eastAsia"/>
          <w:kern w:val="0"/>
          <w:sz w:val="24"/>
          <w:szCs w:val="20"/>
          <w:lang w:val="zh-CN"/>
        </w:rPr>
        <w:t>，负责红线外进场道路的维修。</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日前，负责接通施工现场总的施工用水源、电源、变压器（包括水表、配电板），应满足施工用水、用电量的需要。做好红线以内场地平整，拆迁障碍物的资料。</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３．本合同签订后</w:t>
      </w:r>
      <w:r>
        <w:rPr>
          <w:rFonts w:ascii="宋体" w:hint="eastAsia"/>
          <w:kern w:val="0"/>
          <w:sz w:val="24"/>
          <w:szCs w:val="20"/>
          <w:u w:val="single"/>
          <w:lang w:val="zh-CN"/>
        </w:rPr>
        <w:t xml:space="preserve">　　　</w:t>
      </w:r>
      <w:r>
        <w:rPr>
          <w:rFonts w:ascii="宋体" w:hint="eastAsia"/>
          <w:kern w:val="0"/>
          <w:sz w:val="24"/>
          <w:szCs w:val="20"/>
          <w:lang w:val="zh-CN"/>
        </w:rPr>
        <w:t>天内提交建筑许可证。</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４．合同签订后</w:t>
      </w:r>
      <w:r>
        <w:rPr>
          <w:rFonts w:ascii="宋体" w:hint="eastAsia"/>
          <w:kern w:val="0"/>
          <w:sz w:val="24"/>
          <w:szCs w:val="20"/>
          <w:u w:val="single"/>
          <w:lang w:val="zh-CN"/>
        </w:rPr>
        <w:t xml:space="preserve">　　　</w:t>
      </w:r>
      <w:r>
        <w:rPr>
          <w:rFonts w:ascii="宋体" w:hint="eastAsia"/>
          <w:kern w:val="0"/>
          <w:sz w:val="24"/>
          <w:szCs w:val="20"/>
          <w:lang w:val="zh-CN"/>
        </w:rPr>
        <w:t>天内（以收签最后一张图纸为准）提供完整的建筑安装施工图＿份，施工技术资料（包括地质及水准点座标控制点）</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５．组织承、发包双方和设计单位及有关部门参加施工图交底会审，并做好三方签署的交底会审纪要，在＿天内分送有关单位，＿天内提供会审纪要和修改施工图</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二、承包方：</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１．负责施工区域的临时道路、临时设施、水电管线的铺设、管理、使用和维修工作；</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２．组织施工管理人员和材料、施工机械进场；</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３．编制施工组织设计或施工方案、施工预算、施工总进度计划，材料设备、成品、半成品等进场计划（包括月计划），用水、用电计划，送发包方。</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工程期限</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一、根据国家工期定额和使用需要，商定工程工期为</w:t>
      </w:r>
      <w:r>
        <w:rPr>
          <w:rFonts w:ascii="宋体" w:hint="eastAsia"/>
          <w:kern w:val="0"/>
          <w:sz w:val="24"/>
          <w:szCs w:val="20"/>
          <w:u w:val="single"/>
          <w:lang w:val="zh-CN"/>
        </w:rPr>
        <w:t xml:space="preserve">　　　</w:t>
      </w:r>
      <w:r>
        <w:rPr>
          <w:rFonts w:ascii="宋体" w:hint="eastAsia"/>
          <w:kern w:val="0"/>
          <w:sz w:val="24"/>
          <w:szCs w:val="20"/>
          <w:lang w:val="zh-CN"/>
        </w:rPr>
        <w:t>天（日历天），自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日竣工验收（附各单位工程开竣工日期，见附表一）。</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二、开工前</w:t>
      </w:r>
      <w:r>
        <w:rPr>
          <w:rFonts w:ascii="宋体" w:hint="eastAsia"/>
          <w:kern w:val="0"/>
          <w:sz w:val="24"/>
          <w:szCs w:val="20"/>
          <w:u w:val="single"/>
          <w:lang w:val="zh-CN"/>
        </w:rPr>
        <w:t xml:space="preserve">　　　</w:t>
      </w:r>
      <w:r>
        <w:rPr>
          <w:rFonts w:ascii="宋体" w:hint="eastAsia"/>
          <w:kern w:val="0"/>
          <w:sz w:val="24"/>
          <w:szCs w:val="20"/>
          <w:lang w:val="zh-CN"/>
        </w:rPr>
        <w:t>天，承包方向发包方发出开工通知书。</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三、如遇下列情况，经发包方现场代表签证后，工期相应顺延：</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１．按施工准备规定，不能提供施工场地、水、电源道路未能接通，障碍物未能清除，影响进场施工；</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２．凡发包方负责供应的材料、设备、成品或半成品未能保证施工需要或因交验时发现缺陷需要修、配、代、换而影响进度；</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３．不属包干系数范围内的重大设计变更，提供的工程地质资料不准，致使设计方案改变或由于施工无法进行的原因而影响进度；</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４．在施工中如因停电、停水８小时以上或连续间歇性停水、停电３天以上（每次连续４小时以上），影响正常施工；</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５．非承包方原因而监理签证不及时而影响下一道工序施工；</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６．未按合同规定拨付预付款、工程进度款或代购材料差价款而影响施工；</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７．人力不可抗拒的因素而延误工期。</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工程质量</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一、本工程质量经双方研究要求达到：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二、承包方必须严格按照施工图纸、说明文件和国家颁发的建筑工程规范、规程和标准进行施工，并接受发包方派驻代表的监督。</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三、承包方在施工过程中必须遵守下列规定：</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１．由承包方提供的主要原材料、设备、构配件、半成品必须按有关规定提供质量合格证，或进行检验合格后方可用于工程；</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２．由发包方提供的主要原材料、设备、构配件、半成品也必须有质量合格证方可用于工程。对材料改变或代用必须经原设计单位同意并发正式书面通知和发包方派驻代表签证后，方可用于工程；</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３．隐蔽工程必须经发包方派驻代表检查、验收签章后，方可进行下一道工序；</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４．承包方应按质量验评标准对工程进行分项、分部和单位工程质量进行评定，并及时将单位工程质量评定结果送发包方和质量监督站。单位工程结构完工时，应会同发包方、质量监督站进行结构中间验收；</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方在施工中发生质量事故，应及时报告发包方派驻代表和当地建筑工程质量监督站。一般质量事故的处理结果应送发包方和质量监督站备案；重大质量事故的处理方案，应经设计单位、质量监督站、发包方等单位共同研究，并经设计建设单位签证后实施；</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６．工程竣工后，承包方按规定对工程实行保修，保修时间自通过竣工验收之日算起。</w:t>
      </w:r>
      <w:r>
        <w:rPr>
          <w:rFonts w:ascii="宋体"/>
          <w:kern w:val="0"/>
          <w:sz w:val="24"/>
          <w:szCs w:val="20"/>
          <w:lang w:val="zh-CN"/>
        </w:rPr>
        <w:t xml:space="preserve"> </w:t>
      </w:r>
    </w:p>
    <w:p w:rsidR="009D18E2" w:rsidRDefault="009D18E2">
      <w:pPr>
        <w:pStyle w:val="a3"/>
        <w:widowControl w:val="0"/>
        <w:autoSpaceDE w:val="0"/>
        <w:autoSpaceDN w:val="0"/>
        <w:adjustRightInd w:val="0"/>
        <w:spacing w:before="0" w:beforeAutospacing="0" w:after="0" w:afterAutospacing="0" w:line="480" w:lineRule="auto"/>
        <w:rPr>
          <w:rFonts w:hAnsi="Times New Roman"/>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建筑材料、设备的供应、验收和差价处理</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一、由发包方供应以下材料、设备的实物或指标（详见附表二）；</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二、除发包方供应以外的其他材料、设备由承包方采购；</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发包方供应、承包方采购的材料、设备，必须附有产品合格证才能用于工程，任何一方认为对方提供的材料需要复验的，应允许复验。经复验符合质量要求的，方可用于工程，其复验费由要求复验方承担；不符合质量要求的，应按有关规定处理，其复验费由提供材料、设备方承担。</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四、本工程材料和设备差价的处理办法：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工程价款的支付与结算</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工程价款的支付和结算，应根据中国人民建设银行制定的</w:t>
      </w:r>
      <w:r>
        <w:rPr>
          <w:rFonts w:ascii="宋体"/>
          <w:kern w:val="0"/>
          <w:sz w:val="24"/>
          <w:szCs w:val="20"/>
          <w:lang w:val="zh-CN"/>
        </w:rPr>
        <w:t>“</w:t>
      </w:r>
      <w:r>
        <w:rPr>
          <w:rFonts w:ascii="宋体" w:hint="eastAsia"/>
          <w:kern w:val="0"/>
          <w:sz w:val="24"/>
          <w:szCs w:val="20"/>
          <w:lang w:val="zh-CN"/>
        </w:rPr>
        <w:t>基本建设工程价款结算办法</w:t>
      </w:r>
      <w:r>
        <w:rPr>
          <w:rFonts w:ascii="宋体"/>
          <w:kern w:val="0"/>
          <w:sz w:val="24"/>
          <w:szCs w:val="20"/>
          <w:lang w:val="zh-CN"/>
        </w:rPr>
        <w:t>”</w:t>
      </w:r>
      <w:r>
        <w:rPr>
          <w:rFonts w:ascii="宋体" w:hint="eastAsia"/>
          <w:kern w:val="0"/>
          <w:sz w:val="24"/>
          <w:szCs w:val="20"/>
          <w:lang w:val="zh-CN"/>
        </w:rPr>
        <w:t>执行。</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一、本合同签订后＿＿日内，发包方支付不少于合同总价（或当年投资额）的％备料款，计人民币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万元；临时设施费，按土建工程合同总造价的</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万元，安装工程按人工费的</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万元；材料设备差价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万元，分</w:t>
      </w:r>
      <w:r>
        <w:rPr>
          <w:rFonts w:ascii="宋体" w:hint="eastAsia"/>
          <w:kern w:val="0"/>
          <w:sz w:val="24"/>
          <w:szCs w:val="20"/>
          <w:u w:val="single"/>
          <w:lang w:val="zh-CN"/>
        </w:rPr>
        <w:t xml:space="preserve">　　　</w:t>
      </w:r>
      <w:r>
        <w:rPr>
          <w:rFonts w:ascii="宋体" w:hint="eastAsia"/>
          <w:kern w:val="0"/>
          <w:sz w:val="24"/>
          <w:szCs w:val="20"/>
          <w:lang w:val="zh-CN"/>
        </w:rPr>
        <w:t>次支付，每次支付时间、金额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二、发包方收到承包方的工程进度月报后必须在</w:t>
      </w:r>
      <w:r>
        <w:rPr>
          <w:rFonts w:ascii="宋体" w:hint="eastAsia"/>
          <w:kern w:val="0"/>
          <w:sz w:val="24"/>
          <w:szCs w:val="20"/>
          <w:u w:val="single"/>
          <w:lang w:val="zh-CN"/>
        </w:rPr>
        <w:t xml:space="preserve">　　　</w:t>
      </w:r>
      <w:r>
        <w:rPr>
          <w:rFonts w:ascii="宋体" w:hint="eastAsia"/>
          <w:kern w:val="0"/>
          <w:sz w:val="24"/>
          <w:szCs w:val="20"/>
          <w:lang w:val="zh-CN"/>
        </w:rPr>
        <w:t>日内按核实的工程进度支付进度款，工程进度款支付达到合同总价的</w:t>
      </w:r>
      <w:r>
        <w:rPr>
          <w:rFonts w:ascii="宋体" w:hint="eastAsia"/>
          <w:kern w:val="0"/>
          <w:sz w:val="24"/>
          <w:szCs w:val="20"/>
          <w:u w:val="single"/>
          <w:lang w:val="zh-CN"/>
        </w:rPr>
        <w:t xml:space="preserve">　　　</w:t>
      </w:r>
      <w:r>
        <w:rPr>
          <w:rFonts w:ascii="宋体" w:hint="eastAsia"/>
          <w:kern w:val="0"/>
          <w:sz w:val="24"/>
          <w:szCs w:val="20"/>
          <w:lang w:val="zh-CN"/>
        </w:rPr>
        <w:t>％时，按规定比例逐步开始扣回备料款。</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三、工程价款支付达到合同总价款的９５％时，不再按进度付款，办完交工验收后，待保修期满连本息（财政拨款不计息）一次支付给承包方。</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四、如发包方拖欠工程进度款或尾款，应向承包方支付拖欠金额日万分之</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五、确因发包方拖欠工程款、代购材料价差款而影响工程进度，造成承包方的停、窝工损失的，应由发包方承担。</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六、本合同造价结算方式：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七、承包方在单项工程竣工验收后</w:t>
      </w:r>
      <w:r>
        <w:rPr>
          <w:rFonts w:ascii="宋体" w:hint="eastAsia"/>
          <w:kern w:val="0"/>
          <w:sz w:val="24"/>
          <w:szCs w:val="20"/>
          <w:u w:val="single"/>
          <w:lang w:val="zh-CN"/>
        </w:rPr>
        <w:t xml:space="preserve">　　　</w:t>
      </w:r>
      <w:r>
        <w:rPr>
          <w:rFonts w:ascii="宋体" w:hint="eastAsia"/>
          <w:kern w:val="0"/>
          <w:sz w:val="24"/>
          <w:szCs w:val="20"/>
          <w:lang w:val="zh-CN"/>
        </w:rPr>
        <w:t>天内，将竣工结算文件送交发包方和经办银行审查，发包方在接到结算文件</w:t>
      </w:r>
      <w:r>
        <w:rPr>
          <w:rFonts w:ascii="宋体" w:hint="eastAsia"/>
          <w:kern w:val="0"/>
          <w:sz w:val="24"/>
          <w:szCs w:val="20"/>
          <w:u w:val="single"/>
          <w:lang w:val="zh-CN"/>
        </w:rPr>
        <w:t xml:space="preserve">　　　</w:t>
      </w:r>
      <w:r>
        <w:rPr>
          <w:rFonts w:ascii="宋体" w:hint="eastAsia"/>
          <w:kern w:val="0"/>
          <w:sz w:val="24"/>
          <w:szCs w:val="20"/>
          <w:lang w:val="zh-CN"/>
        </w:rPr>
        <w:t>天内审查完毕，如到期未提出书面异议，承包方可请求经办银行审定后拨款。</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施工与设计变更</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一、发包方交付的设计图纸、说明和有关技术资料，作为施工的有效依据，开工前由发包方组织设计交底和三方会审作出会审纪要，作为施工的补充依据，承、发包双方均不得擅自修改。</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施工中如发现设计有错误或严重不合理的地方，承包方及时以书面形式通知发包方，由发包方及时会同设计等有关单位研究确定修改意见或变更设计文件，承包方按修改或变更的设计文件进行施工。若发生增加费用（包括返工损失、停工、窝工、人员和机械设备调迁、材料构配件积压的实际损失）由发包方负责，并调整合同造价。</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三、承包方在保证工程质量和不降低设计标准的前提下，提出修改设计、修改工艺的合理化建议，经发包方、设计单位或有关技术部门同意后采取实施，其节约的价值按国家规定分配。</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四、发包方如需设计变更，必须由原设计单位作出正式修改通知书和修改图纸，承包方才予实施。重大修改或增加造价时，必须另行协商，在取得投资落实证明，技术资料设计图纸齐全时，承包方才予实施。</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工程验收</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竣工工程验收，以国家颁发的《关于基本建设项目竣工验收暂行规定》、《工程施工及验收规范》、《建筑安装工程质量检验评定标准》和国务院有关部门制订的竣工验收规定及施工图纸及说明书、施工技术文件为依据。</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二、工程施工中地下工程、结构工程必须具有隐蔽验收签证、试压、试水、抗渗等记录。工程竣工质量经当地质量监督部门检验合格后，发包方须及时办理验收签证手续。</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三、工程竣工验收后，方包方方可使用。</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在规定的保修期内，凡因施工造成的质量事故和质量缺陷应由承包方无偿保修。其保修条件、范围和期限按城乡建设环境保护部（８４）城建字第７９号通知印发的《建筑工程保修办法（试行）》执行。</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承包方的责任：</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一、工程质量不符合合同规定的，负责无偿修理或返工。由于修理或返工造成逾期交付的，偿付逾期违约金。</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二、工程不能按合同规定的工期交付使用的，按合同中第九条关于建设工期提前或拖后的奖罚规定偿付逾期罚款。</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发包方的责任：</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一、未能按照合同的规定履行自己应负的责任，除竣工日期得以顺延外，还应赔偿承包方由此造成的实际损失。</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二、工程中途停建、缓建或由于设计变更以及设计错误造成的返工，应采取措施弥补或减少损失。同时，赔偿承包方由此造成的停工、窝工、返工、倒运、人员和机械设备调迁、材料和构件积压的实际损失。</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三、工程未经验收，发包方提前使用或擅自动用，由此而发生的质量或其他问题，由发包方承担责任。</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四、承包方验收通知书送达</w:t>
      </w:r>
      <w:r>
        <w:rPr>
          <w:rFonts w:ascii="宋体" w:hint="eastAsia"/>
          <w:kern w:val="0"/>
          <w:sz w:val="24"/>
          <w:szCs w:val="20"/>
          <w:u w:val="single"/>
          <w:lang w:val="zh-CN"/>
        </w:rPr>
        <w:t xml:space="preserve">　　　</w:t>
      </w:r>
      <w:r>
        <w:rPr>
          <w:rFonts w:ascii="宋体" w:hint="eastAsia"/>
          <w:kern w:val="0"/>
          <w:sz w:val="24"/>
          <w:szCs w:val="20"/>
          <w:lang w:val="zh-CN"/>
        </w:rPr>
        <w:t>日后不进行验收的，按规定偿付逾期违约金。</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五、不按合同规定拨付工程款，按银行有关逾期付款办法的规定延付金额每日万分之三偿付承包方赔偿金。</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纠纷解决办法</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任何一方违反合同规定，双方协商不成，按以下第（　　）项方式解决：</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一、向经济合同仲裁机关申请仲裁；</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二、向人民法院起诉。</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附　则</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一、本合同一式</w:t>
      </w:r>
      <w:r>
        <w:rPr>
          <w:rFonts w:ascii="宋体" w:hint="eastAsia"/>
          <w:kern w:val="0"/>
          <w:sz w:val="24"/>
          <w:szCs w:val="20"/>
          <w:u w:val="single"/>
          <w:lang w:val="zh-CN"/>
        </w:rPr>
        <w:t xml:space="preserve">　　　</w:t>
      </w:r>
      <w:r>
        <w:rPr>
          <w:rFonts w:ascii="宋体" w:hint="eastAsia"/>
          <w:kern w:val="0"/>
          <w:sz w:val="24"/>
          <w:szCs w:val="20"/>
          <w:lang w:val="zh-CN"/>
        </w:rPr>
        <w:t>份，合同附件</w:t>
      </w:r>
      <w:r>
        <w:rPr>
          <w:rFonts w:ascii="宋体" w:hint="eastAsia"/>
          <w:kern w:val="0"/>
          <w:sz w:val="24"/>
          <w:szCs w:val="20"/>
          <w:u w:val="single"/>
          <w:lang w:val="zh-CN"/>
        </w:rPr>
        <w:t xml:space="preserve">　　　</w:t>
      </w:r>
      <w:r>
        <w:rPr>
          <w:rFonts w:ascii="宋体" w:hint="eastAsia"/>
          <w:kern w:val="0"/>
          <w:sz w:val="24"/>
          <w:szCs w:val="20"/>
          <w:lang w:val="zh-CN"/>
        </w:rPr>
        <w:t>份。甲乙双方各执正本一份，其余副本由发包方报送经办银行，当地工商行政管理机关、建设主管部门备案。按规定必须办理鉴（公）证的合同，送建筑的所在地工商、公证部门办理鉴（公）证。</w:t>
      </w:r>
    </w:p>
    <w:p w:rsidR="009D18E2" w:rsidRDefault="009D18E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二、本合同自双方代表签字，加盖双方公章或合同专用章即生效，需办理鉴（公）证的，自办毕鉴（公）证之日起生效；工程竣工验收符合要求，结清工程款后终止。</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三、本合同签订后，承、发包双方如需提出修改时，经双方协商一致后，可以签订补充协议，作为本合同的补充合同。</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承包方（盖章）：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委托代理人（签章）：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单位地址：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　　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　　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　　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经办建设银行　　</w:t>
      </w:r>
      <w:r>
        <w:rPr>
          <w:rFonts w:ascii="宋体" w:hint="eastAsia"/>
          <w:kern w:val="0"/>
          <w:sz w:val="24"/>
          <w:szCs w:val="20"/>
          <w:lang w:val="zh-CN"/>
        </w:rPr>
        <w:t xml:space="preserve">      </w:t>
      </w:r>
      <w:r>
        <w:rPr>
          <w:rFonts w:ascii="宋体" w:hint="eastAsia"/>
          <w:kern w:val="0"/>
          <w:sz w:val="24"/>
          <w:szCs w:val="20"/>
          <w:lang w:val="zh-CN"/>
        </w:rPr>
        <w:t xml:space="preserve">　　建筑管理部门　　　</w:t>
      </w:r>
      <w:r>
        <w:rPr>
          <w:rFonts w:ascii="宋体" w:hint="eastAsia"/>
          <w:kern w:val="0"/>
          <w:sz w:val="24"/>
          <w:szCs w:val="20"/>
          <w:lang w:val="zh-CN"/>
        </w:rPr>
        <w:t xml:space="preserve">   </w:t>
      </w:r>
      <w:r>
        <w:rPr>
          <w:rFonts w:ascii="宋体" w:hint="eastAsia"/>
          <w:kern w:val="0"/>
          <w:sz w:val="24"/>
          <w:szCs w:val="20"/>
          <w:lang w:val="zh-CN"/>
        </w:rPr>
        <w:t xml:space="preserve">　　　鉴（公）证机关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　　　　　</w:t>
      </w:r>
      <w:r>
        <w:rPr>
          <w:rFonts w:ascii="宋体" w:hint="eastAsia"/>
          <w:kern w:val="0"/>
          <w:sz w:val="24"/>
          <w:szCs w:val="20"/>
          <w:lang w:val="zh-CN"/>
        </w:rPr>
        <w:t xml:space="preserve">      </w:t>
      </w:r>
      <w:r>
        <w:rPr>
          <w:rFonts w:ascii="宋体" w:hint="eastAsia"/>
          <w:kern w:val="0"/>
          <w:sz w:val="24"/>
          <w:szCs w:val="20"/>
          <w:lang w:val="zh-CN"/>
        </w:rPr>
        <w:t xml:space="preserve">　（盖章）　　　　　　　　　（盖章）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鉴（公）证意见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经办人：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　程　项　目　一　览　表</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附表一：</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
        <w:gridCol w:w="748"/>
        <w:gridCol w:w="748"/>
        <w:gridCol w:w="511"/>
        <w:gridCol w:w="511"/>
        <w:gridCol w:w="511"/>
        <w:gridCol w:w="630"/>
        <w:gridCol w:w="630"/>
        <w:gridCol w:w="630"/>
        <w:gridCol w:w="949"/>
        <w:gridCol w:w="949"/>
        <w:gridCol w:w="511"/>
        <w:gridCol w:w="511"/>
        <w:gridCol w:w="511"/>
      </w:tblGrid>
      <w:tr w:rsidR="00000000">
        <w:tblPrEx>
          <w:tblCellMar>
            <w:top w:w="0" w:type="dxa"/>
            <w:bottom w:w="0" w:type="dxa"/>
          </w:tblCellMar>
        </w:tblPrEx>
        <w:trPr>
          <w:cantSplit/>
          <w:trHeight w:val="1423"/>
        </w:trPr>
        <w:tc>
          <w:tcPr>
            <w:tcW w:w="533"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90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工程名称</w:t>
            </w:r>
          </w:p>
        </w:tc>
        <w:tc>
          <w:tcPr>
            <w:tcW w:w="90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设计单位</w:t>
            </w:r>
          </w:p>
        </w:tc>
        <w:tc>
          <w:tcPr>
            <w:tcW w:w="54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栋数</w:t>
            </w:r>
          </w:p>
        </w:tc>
        <w:tc>
          <w:tcPr>
            <w:tcW w:w="54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结构</w:t>
            </w:r>
          </w:p>
        </w:tc>
        <w:tc>
          <w:tcPr>
            <w:tcW w:w="54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层数</w:t>
            </w:r>
          </w:p>
        </w:tc>
        <w:tc>
          <w:tcPr>
            <w:tcW w:w="72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面积</w:t>
            </w:r>
          </w:p>
        </w:tc>
        <w:tc>
          <w:tcPr>
            <w:tcW w:w="72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资金来源</w:t>
            </w:r>
          </w:p>
        </w:tc>
        <w:tc>
          <w:tcPr>
            <w:tcW w:w="72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批准文号</w:t>
            </w:r>
          </w:p>
        </w:tc>
        <w:tc>
          <w:tcPr>
            <w:tcW w:w="108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投资总额（万元）</w:t>
            </w:r>
          </w:p>
        </w:tc>
        <w:tc>
          <w:tcPr>
            <w:tcW w:w="108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工程总造价（万元）</w:t>
            </w:r>
          </w:p>
        </w:tc>
        <w:tc>
          <w:tcPr>
            <w:tcW w:w="540" w:type="dxa"/>
            <w:tcBorders>
              <w:bottom w:val="single" w:sz="4" w:space="0" w:color="auto"/>
            </w:tcBorders>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开工时间</w:t>
            </w:r>
          </w:p>
        </w:tc>
        <w:tc>
          <w:tcPr>
            <w:tcW w:w="540" w:type="dxa"/>
            <w:tcBorders>
              <w:bottom w:val="single" w:sz="4" w:space="0" w:color="auto"/>
            </w:tcBorders>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竣工时间</w:t>
            </w:r>
          </w:p>
        </w:tc>
        <w:tc>
          <w:tcPr>
            <w:tcW w:w="54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备注</w:t>
            </w:r>
          </w:p>
        </w:tc>
      </w:tr>
      <w:tr w:rsidR="00000000">
        <w:tblPrEx>
          <w:tblCellMar>
            <w:top w:w="0" w:type="dxa"/>
            <w:bottom w:w="0" w:type="dxa"/>
          </w:tblCellMar>
        </w:tblPrEx>
        <w:trPr>
          <w:trHeight w:val="705"/>
        </w:trPr>
        <w:tc>
          <w:tcPr>
            <w:tcW w:w="533"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08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08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tcPr>
          <w:p w:rsidR="009D18E2" w:rsidRDefault="009D18E2">
            <w:pPr>
              <w:autoSpaceDE w:val="0"/>
              <w:autoSpaceDN w:val="0"/>
              <w:adjustRightInd w:val="0"/>
              <w:jc w:val="center"/>
              <w:rPr>
                <w:rFonts w:ascii="宋体" w:hint="eastAsia"/>
                <w:kern w:val="0"/>
                <w:sz w:val="24"/>
                <w:szCs w:val="20"/>
                <w:lang w:val="zh-CN"/>
              </w:rPr>
            </w:pPr>
          </w:p>
        </w:tc>
        <w:tc>
          <w:tcPr>
            <w:tcW w:w="540" w:type="dxa"/>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705"/>
        </w:trPr>
        <w:tc>
          <w:tcPr>
            <w:tcW w:w="533"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08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08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tcPr>
          <w:p w:rsidR="009D18E2" w:rsidRDefault="009D18E2">
            <w:pPr>
              <w:autoSpaceDE w:val="0"/>
              <w:autoSpaceDN w:val="0"/>
              <w:adjustRightInd w:val="0"/>
              <w:jc w:val="center"/>
              <w:rPr>
                <w:rFonts w:ascii="宋体" w:hint="eastAsia"/>
                <w:kern w:val="0"/>
                <w:sz w:val="24"/>
                <w:szCs w:val="20"/>
                <w:lang w:val="zh-CN"/>
              </w:rPr>
            </w:pPr>
          </w:p>
        </w:tc>
        <w:tc>
          <w:tcPr>
            <w:tcW w:w="540" w:type="dxa"/>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705"/>
        </w:trPr>
        <w:tc>
          <w:tcPr>
            <w:tcW w:w="533"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08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08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0" w:type="dxa"/>
          </w:tcPr>
          <w:p w:rsidR="009D18E2" w:rsidRDefault="009D18E2">
            <w:pPr>
              <w:autoSpaceDE w:val="0"/>
              <w:autoSpaceDN w:val="0"/>
              <w:adjustRightInd w:val="0"/>
              <w:jc w:val="center"/>
              <w:rPr>
                <w:rFonts w:ascii="宋体" w:hint="eastAsia"/>
                <w:kern w:val="0"/>
                <w:sz w:val="24"/>
                <w:szCs w:val="20"/>
                <w:lang w:val="zh-CN"/>
              </w:rPr>
            </w:pPr>
          </w:p>
        </w:tc>
        <w:tc>
          <w:tcPr>
            <w:tcW w:w="540" w:type="dxa"/>
          </w:tcPr>
          <w:p w:rsidR="009D18E2" w:rsidRDefault="009D18E2">
            <w:pPr>
              <w:autoSpaceDE w:val="0"/>
              <w:autoSpaceDN w:val="0"/>
              <w:adjustRightInd w:val="0"/>
              <w:jc w:val="center"/>
              <w:rPr>
                <w:rFonts w:ascii="宋体" w:hint="eastAsia"/>
                <w:kern w:val="0"/>
                <w:sz w:val="24"/>
                <w:szCs w:val="20"/>
                <w:lang w:val="zh-CN"/>
              </w:rPr>
            </w:pPr>
          </w:p>
        </w:tc>
        <w:tc>
          <w:tcPr>
            <w:tcW w:w="540" w:type="dxa"/>
            <w:vAlign w:val="center"/>
          </w:tcPr>
          <w:p w:rsidR="009D18E2" w:rsidRDefault="009D18E2">
            <w:pPr>
              <w:autoSpaceDE w:val="0"/>
              <w:autoSpaceDN w:val="0"/>
              <w:adjustRightInd w:val="0"/>
              <w:jc w:val="center"/>
              <w:rPr>
                <w:rFonts w:ascii="宋体" w:hint="eastAsia"/>
                <w:kern w:val="0"/>
                <w:sz w:val="24"/>
                <w:szCs w:val="20"/>
                <w:lang w:val="zh-CN"/>
              </w:rPr>
            </w:pPr>
          </w:p>
        </w:tc>
      </w:tr>
    </w:tbl>
    <w:p w:rsidR="009D18E2" w:rsidRDefault="009D18E2">
      <w:pPr>
        <w:autoSpaceDE w:val="0"/>
        <w:autoSpaceDN w:val="0"/>
        <w:adjustRightInd w:val="0"/>
        <w:spacing w:line="480" w:lineRule="auto"/>
        <w:jc w:val="left"/>
        <w:rPr>
          <w:rFonts w:ascii="宋体" w:hint="eastAsia"/>
          <w:kern w:val="0"/>
          <w:sz w:val="24"/>
          <w:szCs w:val="20"/>
          <w:lang w:val="zh-CN"/>
        </w:rPr>
      </w:pP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注：维修、屋外、管道、给排水等项目也应按此表逐项填写。</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由甲方负责供应设备和材料表</w:t>
      </w:r>
      <w:r>
        <w:rPr>
          <w:rFonts w:ascii="宋体"/>
          <w:kern w:val="0"/>
          <w:sz w:val="24"/>
          <w:szCs w:val="20"/>
          <w:lang w:val="zh-CN"/>
        </w:rPr>
        <w:t xml:space="preserve"> </w:t>
      </w:r>
    </w:p>
    <w:p w:rsidR="009D18E2" w:rsidRDefault="009D18E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9D18E2" w:rsidRDefault="009D18E2">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附表二：</w:t>
      </w:r>
      <w:r>
        <w:rPr>
          <w:rFonts w:ascii="宋体"/>
          <w:kern w:val="0"/>
          <w:sz w:val="24"/>
          <w:szCs w:val="20"/>
          <w:lang w:val="zh-CN"/>
        </w:rPr>
        <w:t xml:space="preserve"> </w:t>
      </w:r>
    </w:p>
    <w:p w:rsidR="009D18E2" w:rsidRDefault="009D18E2">
      <w:pPr>
        <w:autoSpaceDE w:val="0"/>
        <w:autoSpaceDN w:val="0"/>
        <w:adjustRightInd w:val="0"/>
        <w:spacing w:line="480" w:lineRule="auto"/>
        <w:ind w:firstLine="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3"/>
        <w:gridCol w:w="899"/>
        <w:gridCol w:w="541"/>
        <w:gridCol w:w="720"/>
        <w:gridCol w:w="1799"/>
        <w:gridCol w:w="1260"/>
        <w:gridCol w:w="900"/>
      </w:tblGrid>
      <w:tr w:rsidR="00000000">
        <w:tblPrEx>
          <w:tblCellMar>
            <w:top w:w="0" w:type="dxa"/>
            <w:bottom w:w="0" w:type="dxa"/>
          </w:tblCellMar>
        </w:tblPrEx>
        <w:trPr>
          <w:cantSplit/>
          <w:trHeight w:val="1423"/>
        </w:trPr>
        <w:tc>
          <w:tcPr>
            <w:tcW w:w="1433"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材料名称</w:t>
            </w:r>
          </w:p>
        </w:tc>
        <w:tc>
          <w:tcPr>
            <w:tcW w:w="899"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规格</w:t>
            </w:r>
          </w:p>
        </w:tc>
        <w:tc>
          <w:tcPr>
            <w:tcW w:w="541"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72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1799"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交料地点</w:t>
            </w:r>
          </w:p>
        </w:tc>
        <w:tc>
          <w:tcPr>
            <w:tcW w:w="126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到场日期</w:t>
            </w:r>
          </w:p>
        </w:tc>
        <w:tc>
          <w:tcPr>
            <w:tcW w:w="900" w:type="dxa"/>
            <w:tcBorders>
              <w:bottom w:val="single" w:sz="4" w:space="0" w:color="auto"/>
            </w:tcBorders>
            <w:vAlign w:val="center"/>
          </w:tcPr>
          <w:p w:rsidR="009D18E2" w:rsidRDefault="009D18E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备　注</w:t>
            </w:r>
          </w:p>
        </w:tc>
      </w:tr>
      <w:tr w:rsidR="00000000">
        <w:tblPrEx>
          <w:tblCellMar>
            <w:top w:w="0" w:type="dxa"/>
            <w:bottom w:w="0" w:type="dxa"/>
          </w:tblCellMar>
        </w:tblPrEx>
        <w:trPr>
          <w:trHeight w:val="705"/>
        </w:trPr>
        <w:tc>
          <w:tcPr>
            <w:tcW w:w="1433"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899"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1"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799"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26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705"/>
        </w:trPr>
        <w:tc>
          <w:tcPr>
            <w:tcW w:w="1433"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899"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1"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799"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26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705"/>
        </w:trPr>
        <w:tc>
          <w:tcPr>
            <w:tcW w:w="1433"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899"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541"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72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799"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1260" w:type="dxa"/>
            <w:vAlign w:val="center"/>
          </w:tcPr>
          <w:p w:rsidR="009D18E2" w:rsidRDefault="009D18E2">
            <w:pPr>
              <w:autoSpaceDE w:val="0"/>
              <w:autoSpaceDN w:val="0"/>
              <w:adjustRightInd w:val="0"/>
              <w:jc w:val="center"/>
              <w:rPr>
                <w:rFonts w:ascii="宋体" w:hint="eastAsia"/>
                <w:kern w:val="0"/>
                <w:sz w:val="24"/>
                <w:szCs w:val="20"/>
                <w:lang w:val="zh-CN"/>
              </w:rPr>
            </w:pPr>
          </w:p>
        </w:tc>
        <w:tc>
          <w:tcPr>
            <w:tcW w:w="900" w:type="dxa"/>
            <w:vAlign w:val="center"/>
          </w:tcPr>
          <w:p w:rsidR="009D18E2" w:rsidRDefault="009D18E2">
            <w:pPr>
              <w:autoSpaceDE w:val="0"/>
              <w:autoSpaceDN w:val="0"/>
              <w:adjustRightInd w:val="0"/>
              <w:jc w:val="center"/>
              <w:rPr>
                <w:rFonts w:ascii="宋体" w:hint="eastAsia"/>
                <w:kern w:val="0"/>
                <w:sz w:val="24"/>
                <w:szCs w:val="20"/>
                <w:lang w:val="zh-CN"/>
              </w:rPr>
            </w:pPr>
          </w:p>
        </w:tc>
      </w:tr>
    </w:tbl>
    <w:p w:rsidR="009D18E2" w:rsidRDefault="009D18E2">
      <w:pPr>
        <w:autoSpaceDE w:val="0"/>
        <w:autoSpaceDN w:val="0"/>
        <w:adjustRightInd w:val="0"/>
        <w:spacing w:line="480" w:lineRule="auto"/>
        <w:ind w:firstLine="480"/>
        <w:jc w:val="left"/>
        <w:rPr>
          <w:rFonts w:hint="eastAsia"/>
        </w:rPr>
      </w:pPr>
    </w:p>
    <w:sectPr w:rsidR="009D18E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18E2" w:rsidRDefault="009D18E2" w:rsidP="008B5137">
      <w:r>
        <w:separator/>
      </w:r>
    </w:p>
  </w:endnote>
  <w:endnote w:type="continuationSeparator" w:id="0">
    <w:p w:rsidR="009D18E2" w:rsidRDefault="009D18E2" w:rsidP="008B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18E2" w:rsidRDefault="009D18E2" w:rsidP="008B5137">
      <w:r>
        <w:separator/>
      </w:r>
    </w:p>
  </w:footnote>
  <w:footnote w:type="continuationSeparator" w:id="0">
    <w:p w:rsidR="009D18E2" w:rsidRDefault="009D18E2" w:rsidP="008B5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55397537">
    <w:abstractNumId w:val="0"/>
  </w:num>
  <w:num w:numId="2" w16cid:durableId="332338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7E73"/>
    <w:rsid w:val="005E7E73"/>
    <w:rsid w:val="008B5137"/>
    <w:rsid w:val="009D1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609AAB9-08A2-4B46-BC83-533979855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8B5137"/>
    <w:pPr>
      <w:tabs>
        <w:tab w:val="center" w:pos="4153"/>
        <w:tab w:val="right" w:pos="8306"/>
      </w:tabs>
      <w:snapToGrid w:val="0"/>
      <w:jc w:val="center"/>
    </w:pPr>
    <w:rPr>
      <w:sz w:val="18"/>
      <w:szCs w:val="18"/>
    </w:rPr>
  </w:style>
  <w:style w:type="character" w:customStyle="1" w:styleId="a6">
    <w:name w:val="页眉 字符"/>
    <w:basedOn w:val="a0"/>
    <w:link w:val="a5"/>
    <w:uiPriority w:val="99"/>
    <w:rsid w:val="008B5137"/>
    <w:rPr>
      <w:kern w:val="2"/>
      <w:sz w:val="18"/>
      <w:szCs w:val="18"/>
    </w:rPr>
  </w:style>
  <w:style w:type="paragraph" w:styleId="a7">
    <w:name w:val="footer"/>
    <w:basedOn w:val="a"/>
    <w:link w:val="a8"/>
    <w:uiPriority w:val="99"/>
    <w:unhideWhenUsed/>
    <w:rsid w:val="008B5137"/>
    <w:pPr>
      <w:tabs>
        <w:tab w:val="center" w:pos="4153"/>
        <w:tab w:val="right" w:pos="8306"/>
      </w:tabs>
      <w:snapToGrid w:val="0"/>
      <w:jc w:val="left"/>
    </w:pPr>
    <w:rPr>
      <w:sz w:val="18"/>
      <w:szCs w:val="18"/>
    </w:rPr>
  </w:style>
  <w:style w:type="character" w:customStyle="1" w:styleId="a8">
    <w:name w:val="页脚 字符"/>
    <w:basedOn w:val="a0"/>
    <w:link w:val="a7"/>
    <w:uiPriority w:val="99"/>
    <w:rsid w:val="008B513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864</Words>
  <Characters>4931</Characters>
  <Application>Microsoft Office Word</Application>
  <DocSecurity>4</DocSecurity>
  <Lines>41</Lines>
  <Paragraphs>11</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