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A785D" w14:textId="77777777" w:rsidR="002007C6" w:rsidRDefault="002007C6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建设工程技术咨询合同</w:t>
      </w:r>
    </w:p>
    <w:p w14:paraId="53885A0E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0F3B5DC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0948C8C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2DE07F3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7E6A0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44B77094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C66C145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职务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1D11564D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D288078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咨询单位（乙方）：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14:paraId="55D553C9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3FC17D7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地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</w:t>
      </w:r>
      <w:r>
        <w:rPr>
          <w:rFonts w:ascii="宋体" w:hint="eastAsia"/>
          <w:kern w:val="0"/>
          <w:sz w:val="24"/>
          <w:szCs w:val="20"/>
          <w:lang w:val="zh-CN"/>
        </w:rPr>
        <w:t>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电话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</w:t>
      </w:r>
    </w:p>
    <w:p w14:paraId="292B7A6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404BA63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法定代表人：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职务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446F1512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4883AB6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为使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  <w:r>
        <w:rPr>
          <w:rFonts w:ascii="宋体" w:hint="eastAsia"/>
          <w:kern w:val="0"/>
          <w:sz w:val="24"/>
          <w:szCs w:val="20"/>
          <w:lang w:val="zh-CN"/>
        </w:rPr>
        <w:t>建筑安装工程的构想科学，设计和施工经济、合理，建设速度快，误差小，经甲乙双方充分协商，特订立本合同。</w:t>
      </w:r>
    </w:p>
    <w:p w14:paraId="29415CE4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B956B92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第一条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日以前将规划局红线图、上级部门批文、委托书以及建筑安装工程的建筑面积、安装项目、消防方式、库房每层净高等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资料提交乙方。</w:t>
      </w:r>
    </w:p>
    <w:p w14:paraId="3E4CAA96" w14:textId="77777777" w:rsidR="002007C6" w:rsidRDefault="002007C6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1E392193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第二条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乙方根据甲方要求，对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建筑安装工程的地形、地质条件、建筑安装构想等进行可行性研究，最后编制出设计任务书及匡算表，于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日以前交付甲方。</w:t>
      </w:r>
    </w:p>
    <w:p w14:paraId="10C9B928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5D0E237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第三条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甲方根据国家主管部门规定的工程设计收费标准，承付乙方咨询费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元。自本合同签订之日起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日内，甲方先付给乙方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元，待乙方将设计任务书及匡算表交付甲方后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日内，再付给乙方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14:paraId="598311AD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449EE72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第四条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为本咨询工程需要到外地进行调研、收集资料人员的差旅费，由甲方负担。</w:t>
      </w:r>
    </w:p>
    <w:p w14:paraId="734D41A9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5DCDDB6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第五条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甲方的违约责任</w:t>
      </w:r>
    </w:p>
    <w:p w14:paraId="35328FEB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FC80D80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甲方如不按本合同规定的时间向乙方送交有关文件、图纸和资料，乙方可按耽误的时间顺延交付设计任务书及匡算表的时间。</w:t>
      </w:r>
    </w:p>
    <w:p w14:paraId="68BACD40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16103DD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甲方如不按本合同规定的时间向乙方交付咨询费，迟延一天，按迟延交付款额罚款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‰。</w:t>
      </w:r>
    </w:p>
    <w:p w14:paraId="61DE198A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0869E53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甲方如果中途中断咨询请求，乙方咨询工作已经过半的，应付给乙方全部咨询费；咨询工作尚未过半，按总咨询费的</w:t>
      </w:r>
      <w:r>
        <w:rPr>
          <w:rFonts w:ascii="宋体"/>
          <w:kern w:val="0"/>
          <w:sz w:val="24"/>
          <w:szCs w:val="20"/>
          <w:lang w:val="zh-CN"/>
        </w:rPr>
        <w:t>50</w:t>
      </w:r>
      <w:r>
        <w:rPr>
          <w:rFonts w:ascii="宋体" w:hint="eastAsia"/>
          <w:kern w:val="0"/>
          <w:sz w:val="24"/>
          <w:szCs w:val="20"/>
          <w:lang w:val="zh-CN"/>
        </w:rPr>
        <w:t>％收费。</w:t>
      </w:r>
    </w:p>
    <w:p w14:paraId="67748BCD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D241368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第六条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乙方的违约责任</w:t>
      </w:r>
    </w:p>
    <w:p w14:paraId="6C09781C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251C9C6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乙方如不按本合同规定的时间交付设计任务书及匡算表，迟延一天，按总咨询费金额罚款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‰。</w:t>
      </w:r>
    </w:p>
    <w:p w14:paraId="56B697A8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E4E2F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乙方如中途中断咨询，应按总咨询费向乙方交付罚款。</w:t>
      </w:r>
    </w:p>
    <w:p w14:paraId="28E517B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77CCBC52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乙方所提供的技术咨询服务，因质量缺陷或过错给甲方造成经济损失的，应负责赔偿。如果由此引起重大事故，造成严重后果的，还应追究其主要负责人的行政责任或刑事责任。</w:t>
      </w:r>
    </w:p>
    <w:p w14:paraId="04619000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2DDE0D5E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第七条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其他约定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</w:t>
      </w:r>
    </w:p>
    <w:p w14:paraId="3AB39FEC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80AF33C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本合同自签订之日起，甲乙双方不得随意更改。如有未尽事宜，需经双方协商解决。</w:t>
      </w:r>
    </w:p>
    <w:p w14:paraId="7721F7B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D2A4801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本合同正本一式两份，甲乙双方各执一份，合同副本一式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份，分别交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</w:t>
      </w:r>
      <w:r>
        <w:rPr>
          <w:rFonts w:ascii="宋体" w:hint="eastAsia"/>
          <w:kern w:val="0"/>
          <w:sz w:val="24"/>
          <w:szCs w:val="20"/>
          <w:lang w:val="zh-CN"/>
        </w:rPr>
        <w:t>建筑工程主管部门、建行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等单位各一份。</w:t>
      </w:r>
    </w:p>
    <w:p w14:paraId="0A1944AE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66C737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建设单位（甲方）：</w:t>
      </w:r>
      <w:r>
        <w:rPr>
          <w:rFonts w:ascii="宋体"/>
          <w:kern w:val="0"/>
          <w:sz w:val="24"/>
          <w:szCs w:val="20"/>
          <w:lang w:val="zh-CN"/>
        </w:rPr>
        <w:t>________________________</w:t>
      </w:r>
    </w:p>
    <w:p w14:paraId="09979007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167D1B8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/>
          <w:kern w:val="0"/>
          <w:sz w:val="24"/>
          <w:szCs w:val="20"/>
          <w:lang w:val="zh-CN"/>
        </w:rPr>
        <w:t>_________________</w:t>
      </w:r>
    </w:p>
    <w:p w14:paraId="58970D92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5F084F6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/>
          <w:kern w:val="0"/>
          <w:sz w:val="24"/>
          <w:szCs w:val="20"/>
          <w:lang w:val="zh-CN"/>
        </w:rPr>
        <w:t>____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14:paraId="6729B2EC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5C1F49B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咨询单位（乙方）：</w:t>
      </w:r>
      <w:r>
        <w:rPr>
          <w:rFonts w:ascii="宋体"/>
          <w:kern w:val="0"/>
          <w:sz w:val="24"/>
          <w:szCs w:val="20"/>
          <w:lang w:val="zh-CN"/>
        </w:rPr>
        <w:t>________________________________</w:t>
      </w:r>
    </w:p>
    <w:p w14:paraId="3CD1B53A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54224085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负责人：</w:t>
      </w:r>
      <w:r>
        <w:rPr>
          <w:rFonts w:ascii="宋体"/>
          <w:kern w:val="0"/>
          <w:sz w:val="24"/>
          <w:szCs w:val="20"/>
          <w:lang w:val="zh-CN"/>
        </w:rPr>
        <w:t>__________________________________________</w:t>
      </w:r>
    </w:p>
    <w:p w14:paraId="41120EF9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6CD54C6F" w14:textId="77777777" w:rsidR="002007C6" w:rsidRDefault="002007C6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4DE22054" w14:textId="77777777" w:rsidR="002007C6" w:rsidRDefault="002007C6">
      <w:pPr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2007C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1643" w14:textId="77777777" w:rsidR="002007C6" w:rsidRDefault="002007C6" w:rsidP="004D40B7">
      <w:r>
        <w:separator/>
      </w:r>
    </w:p>
  </w:endnote>
  <w:endnote w:type="continuationSeparator" w:id="0">
    <w:p w14:paraId="21DE1B1A" w14:textId="77777777" w:rsidR="002007C6" w:rsidRDefault="002007C6" w:rsidP="004D4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620BB" w14:textId="77777777" w:rsidR="002007C6" w:rsidRDefault="002007C6" w:rsidP="004D40B7">
      <w:r>
        <w:separator/>
      </w:r>
    </w:p>
  </w:footnote>
  <w:footnote w:type="continuationSeparator" w:id="0">
    <w:p w14:paraId="1CD984AB" w14:textId="77777777" w:rsidR="002007C6" w:rsidRDefault="002007C6" w:rsidP="004D40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64FE"/>
    <w:rsid w:val="002007C6"/>
    <w:rsid w:val="004D40B7"/>
    <w:rsid w:val="00C5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CDFD00"/>
  <w15:chartTrackingRefBased/>
  <w15:docId w15:val="{511419A1-412A-415F-9AA4-3913C03C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4D40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40B7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40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40B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219</Words>
  <Characters>1252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交通银行借款合</vt:lpstr>
    </vt:vector>
  </TitlesOfParts>
  <Company>pc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交通银行借款合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