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6384" w:rsidRDefault="0056638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工程建设招标投标合同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0"/>
          <w:szCs w:val="20"/>
          <w:lang w:val="zh-CN"/>
        </w:rPr>
        <w:t>（土地工程施工监理服务协议书附录）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协议书附录</w:t>
      </w:r>
    </w:p>
    <w:p w:rsidR="00566384" w:rsidRDefault="0056638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条款内容　　　　　　　　　条款号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定义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l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项目名称是　　　　　　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）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责任期限　　　　　　　　　　</w:t>
      </w:r>
      <w:r>
        <w:rPr>
          <w:rFonts w:ascii="宋体"/>
          <w:kern w:val="0"/>
          <w:sz w:val="24"/>
          <w:szCs w:val="20"/>
          <w:lang w:val="zh-CN"/>
        </w:rPr>
        <w:t>17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计算起自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赔偿的限额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18.1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服务开始　　　　　　　　　　</w:t>
      </w:r>
      <w:r>
        <w:rPr>
          <w:rFonts w:ascii="宋体"/>
          <w:kern w:val="0"/>
          <w:sz w:val="24"/>
          <w:szCs w:val="20"/>
          <w:lang w:val="zh-CN"/>
        </w:rPr>
        <w:t>22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完成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支付的时间　　　　　　　　</w:t>
      </w:r>
      <w:r>
        <w:rPr>
          <w:rFonts w:ascii="宋体"/>
          <w:kern w:val="0"/>
          <w:sz w:val="24"/>
          <w:szCs w:val="20"/>
          <w:lang w:val="zh-CN"/>
        </w:rPr>
        <w:t>31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当地货币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42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外币　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56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对过期应付款项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商定的补偿　　　　　　　　　　　　　每天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协议书规定的货币　　　　　</w:t>
      </w:r>
      <w:r>
        <w:rPr>
          <w:rFonts w:ascii="宋体"/>
          <w:kern w:val="0"/>
          <w:sz w:val="24"/>
          <w:szCs w:val="20"/>
          <w:lang w:val="zh-CN"/>
        </w:rPr>
        <w:t xml:space="preserve"> 32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支付的货币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协议书中货币的汇率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协议书的语言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36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主导语言　　　　　　　　　　　　　　汉语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英语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协议书遵循的法律　　　　　　　　　　工程所在国或地区的法律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业务总部所在地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37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通知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业主的地址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电话号码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传真电话号码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监理工程师的地址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电传号码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传真电话号码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6384" w:rsidRDefault="00566384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仲裁规则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sectPr w:rsidR="0056638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6384" w:rsidRDefault="00566384" w:rsidP="00706768">
      <w:r>
        <w:separator/>
      </w:r>
    </w:p>
  </w:endnote>
  <w:endnote w:type="continuationSeparator" w:id="0">
    <w:p w:rsidR="00566384" w:rsidRDefault="00566384" w:rsidP="00706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6384" w:rsidRDefault="00566384" w:rsidP="00706768">
      <w:r>
        <w:separator/>
      </w:r>
    </w:p>
  </w:footnote>
  <w:footnote w:type="continuationSeparator" w:id="0">
    <w:p w:rsidR="00566384" w:rsidRDefault="00566384" w:rsidP="00706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82520675">
    <w:abstractNumId w:val="7"/>
  </w:num>
  <w:num w:numId="2" w16cid:durableId="1739550946">
    <w:abstractNumId w:val="4"/>
  </w:num>
  <w:num w:numId="3" w16cid:durableId="1442067666">
    <w:abstractNumId w:val="14"/>
  </w:num>
  <w:num w:numId="4" w16cid:durableId="654063833">
    <w:abstractNumId w:val="2"/>
  </w:num>
  <w:num w:numId="5" w16cid:durableId="328364613">
    <w:abstractNumId w:val="3"/>
  </w:num>
  <w:num w:numId="6" w16cid:durableId="331178948">
    <w:abstractNumId w:val="5"/>
  </w:num>
  <w:num w:numId="7" w16cid:durableId="791094916">
    <w:abstractNumId w:val="0"/>
  </w:num>
  <w:num w:numId="8" w16cid:durableId="1248803282">
    <w:abstractNumId w:val="17"/>
  </w:num>
  <w:num w:numId="9" w16cid:durableId="1579513946">
    <w:abstractNumId w:val="13"/>
  </w:num>
  <w:num w:numId="10" w16cid:durableId="1611010009">
    <w:abstractNumId w:val="15"/>
  </w:num>
  <w:num w:numId="11" w16cid:durableId="840855856">
    <w:abstractNumId w:val="16"/>
  </w:num>
  <w:num w:numId="12" w16cid:durableId="90053281">
    <w:abstractNumId w:val="8"/>
  </w:num>
  <w:num w:numId="13" w16cid:durableId="1268081499">
    <w:abstractNumId w:val="12"/>
  </w:num>
  <w:num w:numId="14" w16cid:durableId="1994875120">
    <w:abstractNumId w:val="10"/>
  </w:num>
  <w:num w:numId="15" w16cid:durableId="554706557">
    <w:abstractNumId w:val="6"/>
  </w:num>
  <w:num w:numId="16" w16cid:durableId="1113133913">
    <w:abstractNumId w:val="1"/>
  </w:num>
  <w:num w:numId="17" w16cid:durableId="1788231248">
    <w:abstractNumId w:val="11"/>
  </w:num>
  <w:num w:numId="18" w16cid:durableId="9752538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215"/>
    <w:rsid w:val="00231215"/>
    <w:rsid w:val="00566384"/>
    <w:rsid w:val="0070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C8F463C-6EF0-4FBB-89CD-7B477541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067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0676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067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0676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1143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