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3C8" w:rsidRDefault="000143C8">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供用电合同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0143C8" w:rsidRDefault="000143C8">
      <w:pPr>
        <w:pStyle w:val="a3"/>
        <w:widowControl w:val="0"/>
        <w:autoSpaceDE w:val="0"/>
        <w:autoSpaceDN w:val="0"/>
        <w:adjustRightInd w:val="0"/>
        <w:spacing w:before="0" w:beforeAutospacing="0" w:after="0" w:afterAutospacing="0" w:line="480" w:lineRule="auto"/>
        <w:rPr>
          <w:rFonts w:hAnsi="Times New Roman"/>
          <w:szCs w:val="20"/>
          <w:lang w:val="zh-CN"/>
        </w:rPr>
      </w:pPr>
    </w:p>
    <w:p w:rsidR="000143C8" w:rsidRDefault="000143C8">
      <w:pPr>
        <w:pStyle w:val="a3"/>
        <w:widowControl w:val="0"/>
        <w:autoSpaceDE w:val="0"/>
        <w:autoSpaceDN w:val="0"/>
        <w:adjustRightInd w:val="0"/>
        <w:spacing w:before="0" w:beforeAutospacing="0" w:after="0" w:afterAutospacing="0" w:line="480" w:lineRule="auto"/>
        <w:rPr>
          <w:rFonts w:hAnsi="Times New Roman"/>
          <w:szCs w:val="20"/>
          <w:lang w:val="zh-CN"/>
        </w:rPr>
      </w:pPr>
    </w:p>
    <w:p w:rsidR="000143C8" w:rsidRDefault="000143C8">
      <w:pPr>
        <w:pStyle w:val="a3"/>
        <w:widowControl w:val="0"/>
        <w:autoSpaceDE w:val="0"/>
        <w:autoSpaceDN w:val="0"/>
        <w:adjustRightInd w:val="0"/>
        <w:spacing w:before="0" w:beforeAutospacing="0" w:after="0" w:afterAutospacing="0" w:line="480" w:lineRule="auto"/>
        <w:rPr>
          <w:rFonts w:hAnsi="Times New Roman"/>
          <w:szCs w:val="20"/>
          <w:lang w:val="zh-CN"/>
        </w:rPr>
      </w:pPr>
    </w:p>
    <w:p w:rsidR="000143C8" w:rsidRDefault="000143C8">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订立合同双方：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供电单位：</w:t>
      </w:r>
      <w:r>
        <w:rPr>
          <w:rFonts w:ascii="宋体" w:hint="eastAsia"/>
          <w:kern w:val="0"/>
          <w:sz w:val="24"/>
          <w:szCs w:val="20"/>
          <w:u w:val="single"/>
          <w:lang w:val="zh-CN"/>
        </w:rPr>
        <w:t xml:space="preserve">                   </w:t>
      </w:r>
      <w:r>
        <w:rPr>
          <w:rFonts w:ascii="宋体" w:hint="eastAsia"/>
          <w:kern w:val="0"/>
          <w:sz w:val="24"/>
          <w:szCs w:val="20"/>
          <w:lang w:val="zh-CN"/>
        </w:rPr>
        <w:t>市（县）供电局（所），以下简称供电方；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用电单位：</w:t>
      </w:r>
      <w:r>
        <w:rPr>
          <w:rFonts w:ascii="宋体" w:hint="eastAsia"/>
          <w:kern w:val="0"/>
          <w:sz w:val="24"/>
          <w:szCs w:val="20"/>
          <w:u w:val="single"/>
          <w:lang w:val="zh-CN"/>
        </w:rPr>
        <w:t xml:space="preserve">                   </w:t>
      </w:r>
      <w:r>
        <w:rPr>
          <w:rFonts w:ascii="宋体" w:hint="eastAsia"/>
          <w:kern w:val="0"/>
          <w:sz w:val="24"/>
          <w:szCs w:val="20"/>
          <w:lang w:val="zh-CN"/>
        </w:rPr>
        <w:t>，以下简称用电方。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为了协调电力供、用双方的关系，明确双方的责任，确立正常的供用电秩序，安全、经济、合理地使用电力，根据《全国供用电规则》的规定，经供、用电双方充分协商，特订立本合同，以便共同遵守。</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一、受电地点、受电电压、受电容量及限期</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受电地点：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受电电压：</w:t>
      </w:r>
      <w:r>
        <w:rPr>
          <w:rFonts w:ascii="宋体" w:hint="eastAsia"/>
          <w:kern w:val="0"/>
          <w:sz w:val="24"/>
          <w:szCs w:val="20"/>
          <w:u w:val="single"/>
          <w:lang w:val="zh-CN"/>
        </w:rPr>
        <w:t xml:space="preserve">           </w:t>
      </w:r>
      <w:r>
        <w:rPr>
          <w:rFonts w:ascii="宋体" w:hint="eastAsia"/>
          <w:kern w:val="0"/>
          <w:sz w:val="24"/>
          <w:szCs w:val="20"/>
          <w:lang w:val="zh-CN"/>
        </w:rPr>
        <w:t>千伏</w:t>
      </w:r>
      <w:r>
        <w:rPr>
          <w:rFonts w:ascii="宋体" w:hint="eastAsia"/>
          <w:kern w:val="0"/>
          <w:sz w:val="24"/>
          <w:szCs w:val="20"/>
          <w:u w:val="single"/>
          <w:lang w:val="zh-CN"/>
        </w:rPr>
        <w:t xml:space="preserve">           </w:t>
      </w:r>
      <w:r>
        <w:rPr>
          <w:rFonts w:ascii="宋体" w:hint="eastAsia"/>
          <w:kern w:val="0"/>
          <w:sz w:val="24"/>
          <w:szCs w:val="20"/>
          <w:lang w:val="zh-CN"/>
        </w:rPr>
        <w:t>线三相交流</w:t>
      </w:r>
      <w:r>
        <w:rPr>
          <w:rFonts w:ascii="宋体" w:hint="eastAsia"/>
          <w:kern w:val="0"/>
          <w:sz w:val="24"/>
          <w:szCs w:val="20"/>
          <w:u w:val="single"/>
          <w:lang w:val="zh-CN"/>
        </w:rPr>
        <w:t xml:space="preserve">           </w:t>
      </w:r>
      <w:r>
        <w:rPr>
          <w:rFonts w:ascii="宋体" w:hint="eastAsia"/>
          <w:kern w:val="0"/>
          <w:sz w:val="24"/>
          <w:szCs w:val="20"/>
          <w:lang w:val="zh-CN"/>
        </w:rPr>
        <w:t>千伏。其中，</w:t>
      </w:r>
      <w:r>
        <w:rPr>
          <w:rFonts w:ascii="宋体"/>
          <w:kern w:val="0"/>
          <w:sz w:val="24"/>
          <w:szCs w:val="20"/>
          <w:lang w:val="zh-CN"/>
        </w:rPr>
        <w:t>35</w:t>
      </w:r>
      <w:r>
        <w:rPr>
          <w:rFonts w:ascii="宋体" w:hint="eastAsia"/>
          <w:kern w:val="0"/>
          <w:sz w:val="24"/>
          <w:szCs w:val="20"/>
          <w:lang w:val="zh-CN"/>
        </w:rPr>
        <w:t>千伏及以上供电和对电压质量有特殊要求的电压变运幅度为额定电压的±</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lastRenderedPageBreak/>
        <w:t>千伏及以下高压供电和低压电力的电压变动幅度为额定电压的±</w:t>
      </w:r>
      <w:r>
        <w:rPr>
          <w:rFonts w:ascii="宋体"/>
          <w:kern w:val="0"/>
          <w:sz w:val="24"/>
          <w:szCs w:val="20"/>
          <w:lang w:val="zh-CN"/>
        </w:rPr>
        <w:t>7</w:t>
      </w:r>
      <w:r>
        <w:rPr>
          <w:rFonts w:ascii="宋体" w:hint="eastAsia"/>
          <w:kern w:val="0"/>
          <w:sz w:val="24"/>
          <w:szCs w:val="20"/>
          <w:lang w:val="zh-CN"/>
        </w:rPr>
        <w:t>％；低压照明用电的电压变动幅度为额定电压的＋</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％。电网容量在</w:t>
      </w:r>
      <w:r>
        <w:rPr>
          <w:rFonts w:ascii="宋体"/>
          <w:kern w:val="0"/>
          <w:sz w:val="24"/>
          <w:szCs w:val="20"/>
          <w:lang w:val="zh-CN"/>
        </w:rPr>
        <w:t>300</w:t>
      </w:r>
      <w:r>
        <w:rPr>
          <w:rFonts w:ascii="宋体" w:hint="eastAsia"/>
          <w:kern w:val="0"/>
          <w:sz w:val="24"/>
          <w:szCs w:val="20"/>
          <w:lang w:val="zh-CN"/>
        </w:rPr>
        <w:t>万千瓦及以上者，供电周率允许偏差为±</w:t>
      </w:r>
      <w:r>
        <w:rPr>
          <w:rFonts w:ascii="宋体"/>
          <w:kern w:val="0"/>
          <w:sz w:val="24"/>
          <w:szCs w:val="20"/>
          <w:lang w:val="zh-CN"/>
        </w:rPr>
        <w:t>0.2</w:t>
      </w:r>
      <w:r>
        <w:rPr>
          <w:rFonts w:ascii="宋体" w:hint="eastAsia"/>
          <w:kern w:val="0"/>
          <w:sz w:val="24"/>
          <w:szCs w:val="20"/>
          <w:lang w:val="zh-CN"/>
        </w:rPr>
        <w:t>周／秒；电网容量在</w:t>
      </w:r>
      <w:r>
        <w:rPr>
          <w:rFonts w:ascii="宋体"/>
          <w:kern w:val="0"/>
          <w:sz w:val="24"/>
          <w:szCs w:val="20"/>
          <w:lang w:val="zh-CN"/>
        </w:rPr>
        <w:t>300</w:t>
      </w:r>
      <w:r>
        <w:rPr>
          <w:rFonts w:ascii="宋体" w:hint="eastAsia"/>
          <w:kern w:val="0"/>
          <w:sz w:val="24"/>
          <w:szCs w:val="20"/>
          <w:lang w:val="zh-CN"/>
        </w:rPr>
        <w:t>万千瓦以下者，供电周率允许偏差为±</w:t>
      </w:r>
      <w:r>
        <w:rPr>
          <w:rFonts w:ascii="宋体"/>
          <w:kern w:val="0"/>
          <w:sz w:val="24"/>
          <w:szCs w:val="20"/>
          <w:lang w:val="zh-CN"/>
        </w:rPr>
        <w:t>0.5</w:t>
      </w:r>
      <w:r>
        <w:rPr>
          <w:rFonts w:ascii="宋体" w:hint="eastAsia"/>
          <w:kern w:val="0"/>
          <w:sz w:val="24"/>
          <w:szCs w:val="20"/>
          <w:lang w:val="zh-CN"/>
        </w:rPr>
        <w:t>周／秒。</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受电容量：三相交流</w:t>
      </w:r>
      <w:r>
        <w:rPr>
          <w:rFonts w:ascii="宋体" w:hint="eastAsia"/>
          <w:kern w:val="0"/>
          <w:sz w:val="24"/>
          <w:szCs w:val="20"/>
          <w:u w:val="single"/>
          <w:lang w:val="zh-CN"/>
        </w:rPr>
        <w:t xml:space="preserve">           </w:t>
      </w:r>
      <w:r>
        <w:rPr>
          <w:rFonts w:ascii="宋体" w:hint="eastAsia"/>
          <w:kern w:val="0"/>
          <w:sz w:val="24"/>
          <w:szCs w:val="20"/>
          <w:lang w:val="zh-CN"/>
        </w:rPr>
        <w:t>千伏安，其中</w:t>
      </w:r>
      <w:r>
        <w:rPr>
          <w:rFonts w:ascii="宋体" w:hint="eastAsia"/>
          <w:kern w:val="0"/>
          <w:sz w:val="24"/>
          <w:szCs w:val="20"/>
          <w:u w:val="single"/>
          <w:lang w:val="zh-CN"/>
        </w:rPr>
        <w:t xml:space="preserve">           </w:t>
      </w:r>
      <w:r>
        <w:rPr>
          <w:rFonts w:ascii="宋体" w:hint="eastAsia"/>
          <w:kern w:val="0"/>
          <w:sz w:val="24"/>
          <w:szCs w:val="20"/>
          <w:lang w:val="zh-CN"/>
        </w:rPr>
        <w:t>千伏安</w:t>
      </w:r>
      <w:r>
        <w:rPr>
          <w:rFonts w:ascii="宋体" w:hint="eastAsia"/>
          <w:kern w:val="0"/>
          <w:sz w:val="24"/>
          <w:szCs w:val="20"/>
          <w:u w:val="single"/>
          <w:lang w:val="zh-CN"/>
        </w:rPr>
        <w:t xml:space="preserve">           </w:t>
      </w:r>
      <w:r>
        <w:rPr>
          <w:rFonts w:ascii="宋体" w:hint="eastAsia"/>
          <w:kern w:val="0"/>
          <w:sz w:val="24"/>
          <w:szCs w:val="20"/>
          <w:lang w:val="zh-CN"/>
        </w:rPr>
        <w:t>台，</w:t>
      </w:r>
      <w:r>
        <w:rPr>
          <w:rFonts w:ascii="宋体" w:hint="eastAsia"/>
          <w:kern w:val="0"/>
          <w:sz w:val="24"/>
          <w:szCs w:val="20"/>
          <w:u w:val="single"/>
          <w:lang w:val="zh-CN"/>
        </w:rPr>
        <w:t xml:space="preserve">           </w:t>
      </w:r>
      <w:r>
        <w:rPr>
          <w:rFonts w:ascii="宋体" w:hint="eastAsia"/>
          <w:kern w:val="0"/>
          <w:sz w:val="24"/>
          <w:szCs w:val="20"/>
          <w:lang w:val="zh-CN"/>
        </w:rPr>
        <w:t>千伏安</w:t>
      </w:r>
      <w:r>
        <w:rPr>
          <w:rFonts w:ascii="宋体" w:hint="eastAsia"/>
          <w:kern w:val="0"/>
          <w:sz w:val="24"/>
          <w:szCs w:val="20"/>
          <w:u w:val="single"/>
          <w:lang w:val="zh-CN"/>
        </w:rPr>
        <w:t xml:space="preserve">           </w:t>
      </w:r>
      <w:r>
        <w:rPr>
          <w:rFonts w:ascii="宋体" w:hint="eastAsia"/>
          <w:kern w:val="0"/>
          <w:sz w:val="24"/>
          <w:szCs w:val="20"/>
          <w:lang w:val="zh-CN"/>
        </w:rPr>
        <w:t>台，……。</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合同期限：合同期限为</w:t>
      </w:r>
      <w:r>
        <w:rPr>
          <w:rFonts w:ascii="宋体" w:hint="eastAsia"/>
          <w:kern w:val="0"/>
          <w:sz w:val="24"/>
          <w:szCs w:val="20"/>
          <w:u w:val="single"/>
          <w:lang w:val="zh-CN"/>
        </w:rPr>
        <w:t xml:space="preserve">       </w:t>
      </w:r>
      <w:r>
        <w:rPr>
          <w:rFonts w:ascii="宋体" w:hint="eastAsia"/>
          <w:kern w:val="0"/>
          <w:sz w:val="24"/>
          <w:szCs w:val="20"/>
          <w:lang w:val="zh-CN"/>
        </w:rPr>
        <w:t>年，从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二、用电方新装、增容与变更用电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用电方新装或增加用电，均应向供电方办理用电申请手续，并按规定办理有关事项。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供电方为新装或增加用电的用电方确定的供电方案，高压的有效期限为</w:t>
      </w:r>
      <w:r>
        <w:rPr>
          <w:rFonts w:ascii="宋体"/>
          <w:kern w:val="0"/>
          <w:sz w:val="24"/>
          <w:szCs w:val="20"/>
          <w:lang w:val="zh-CN"/>
        </w:rPr>
        <w:t>1</w:t>
      </w:r>
      <w:r>
        <w:rPr>
          <w:rFonts w:ascii="宋体" w:hint="eastAsia"/>
          <w:kern w:val="0"/>
          <w:sz w:val="24"/>
          <w:szCs w:val="20"/>
          <w:lang w:val="zh-CN"/>
        </w:rPr>
        <w:t>年，低压的有效期限为</w:t>
      </w:r>
      <w:r>
        <w:rPr>
          <w:rFonts w:ascii="宋体"/>
          <w:kern w:val="0"/>
          <w:sz w:val="24"/>
          <w:szCs w:val="20"/>
          <w:lang w:val="zh-CN"/>
        </w:rPr>
        <w:t>3</w:t>
      </w:r>
      <w:r>
        <w:rPr>
          <w:rFonts w:ascii="宋体" w:hint="eastAsia"/>
          <w:kern w:val="0"/>
          <w:sz w:val="24"/>
          <w:szCs w:val="20"/>
          <w:lang w:val="zh-CN"/>
        </w:rPr>
        <w:t>个月，逾期注销。用电方如有特殊情况，应及时与供电方协商延长。</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用电方新装或增加用电，应按国家有关规定，向供电方交纳帖费，以分担电</w:t>
      </w:r>
      <w:r>
        <w:rPr>
          <w:rFonts w:ascii="宋体" w:hint="eastAsia"/>
          <w:kern w:val="0"/>
          <w:sz w:val="24"/>
          <w:szCs w:val="20"/>
          <w:lang w:val="zh-CN"/>
        </w:rPr>
        <w:lastRenderedPageBreak/>
        <w:t>力部门为适应用电增加而进行的输电、变电、配电工程建设或改造的部分费用。专线供电或用户已列入基建项目的工程，由用户投资建设。</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用电方投资建设的输电、变电、配电设施，建成送电后，其产权归属，按《全国供用电规则》的规定办法确定。</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用电方提出减少用电容量，供电方应根据用电方所提的期限，保留其原容量，保留期最长不得超过</w:t>
      </w:r>
      <w:r>
        <w:rPr>
          <w:rFonts w:ascii="宋体"/>
          <w:kern w:val="0"/>
          <w:sz w:val="24"/>
          <w:szCs w:val="20"/>
          <w:lang w:val="zh-CN"/>
        </w:rPr>
        <w:t>2</w:t>
      </w:r>
      <w:r>
        <w:rPr>
          <w:rFonts w:ascii="宋体" w:hint="eastAsia"/>
          <w:kern w:val="0"/>
          <w:sz w:val="24"/>
          <w:szCs w:val="20"/>
          <w:lang w:val="zh-CN"/>
        </w:rPr>
        <w:t>年。在保留期限内恢复用电时，不再交付帖费；超过保留期限要求恢复用电时，按新装、增容手续办理。按变压器容量计算基本电费的用电方，必须停止整台或整组变压器的运行，方算暂停用电。自暂停用电期满之日起，无论用电方申请恢复用电与否，都应交付全部基本电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用电方变更用电性质、变更户名、减少用电容量、暂停或停止用电、移动表位和迁移用电地址，均应事先向供电方办理手续。</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停止用电时，应将电费结清。</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迁移用电地址而引起供电点变更时，新址用电按新装用电办理。</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三、设计、安装、试验与接电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用电方新装、增装或改装电气装置的设计、安装和试验，应符合国家的有关标准，国家尚未制定标准的，应符合原水利电力部或</w:t>
      </w:r>
      <w:r>
        <w:rPr>
          <w:rFonts w:ascii="宋体" w:hint="eastAsia"/>
          <w:kern w:val="0"/>
          <w:sz w:val="24"/>
          <w:szCs w:val="20"/>
          <w:u w:val="single"/>
          <w:lang w:val="zh-CN"/>
        </w:rPr>
        <w:t xml:space="preserve">           </w:t>
      </w:r>
      <w:r>
        <w:rPr>
          <w:rFonts w:ascii="宋体" w:hint="eastAsia"/>
          <w:kern w:val="0"/>
          <w:sz w:val="24"/>
          <w:szCs w:val="20"/>
          <w:lang w:val="zh-CN"/>
        </w:rPr>
        <w:t>省（或自治区、直辖市）电力部门的规定和规程。</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高压方式供电的用电方，应向供电方提供下列电气装置的设计文件和资料：</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）电气设计说明；</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）用电负荷分布图；</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）负荷组成、性质及保安电力；</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）用电功率因数的计算和无功补偿及容量；</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）高压设备的一次接线方式和布置；</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）过电压保护、继电保护和计量装置的方式。</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低压方式供电的用电方应提供负荷组成和用电设备清单，</w:t>
      </w:r>
      <w:r>
        <w:rPr>
          <w:rFonts w:ascii="宋体"/>
          <w:kern w:val="0"/>
          <w:sz w:val="24"/>
          <w:szCs w:val="20"/>
          <w:lang w:val="zh-CN"/>
        </w:rPr>
        <w:t>100</w:t>
      </w:r>
      <w:r>
        <w:rPr>
          <w:rFonts w:ascii="宋体" w:hint="eastAsia"/>
          <w:kern w:val="0"/>
          <w:sz w:val="24"/>
          <w:szCs w:val="20"/>
          <w:lang w:val="zh-CN"/>
        </w:rPr>
        <w:t>千伏安（千瓦）及以上低压用电方还应提供用电功率的计算和无功补偿资料。</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用电方提供的设计文件和资料应一式</w:t>
      </w:r>
      <w:r>
        <w:rPr>
          <w:rFonts w:ascii="宋体"/>
          <w:kern w:val="0"/>
          <w:sz w:val="24"/>
          <w:szCs w:val="20"/>
          <w:lang w:val="zh-CN"/>
        </w:rPr>
        <w:t>2</w:t>
      </w:r>
      <w:r>
        <w:rPr>
          <w:rFonts w:ascii="宋体" w:hint="eastAsia"/>
          <w:kern w:val="0"/>
          <w:sz w:val="24"/>
          <w:szCs w:val="20"/>
          <w:lang w:val="zh-CN"/>
        </w:rPr>
        <w:t>份，供电方审核提出书意见后，退还用电方</w:t>
      </w:r>
      <w:r>
        <w:rPr>
          <w:rFonts w:ascii="宋体"/>
          <w:kern w:val="0"/>
          <w:sz w:val="24"/>
          <w:szCs w:val="20"/>
          <w:lang w:val="zh-CN"/>
        </w:rPr>
        <w:t>1</w:t>
      </w:r>
      <w:r>
        <w:rPr>
          <w:rFonts w:ascii="宋体" w:hint="eastAsia"/>
          <w:kern w:val="0"/>
          <w:sz w:val="24"/>
          <w:szCs w:val="20"/>
          <w:lang w:val="zh-CN"/>
        </w:rPr>
        <w:t>份据以施工。用电方如改变设计，应将变更方案再交供电方审核。用电方安装竣工后，应向供电方提供高压电气设备试验及继电保护装置整定记录，经供电方检查，直至合格。</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无功电力应就地平衡。用电方应在提高用电自然功率因数的基础上，设计和装置无功补偿设备，并做到随其负荷和电压变动及时投入或切除，防止无功电力倒送。用电方在供电方规定的电网高峰负荷时的功率因数应达到下列规定：</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）高压供电的工业用电和高压供电装有带负荷调整电压装置的用电，功率因数为</w:t>
      </w:r>
      <w:r>
        <w:rPr>
          <w:rFonts w:ascii="宋体"/>
          <w:kern w:val="0"/>
          <w:sz w:val="24"/>
          <w:szCs w:val="20"/>
          <w:lang w:val="zh-CN"/>
        </w:rPr>
        <w:t>0.90</w:t>
      </w:r>
      <w:r>
        <w:rPr>
          <w:rFonts w:ascii="宋体" w:hint="eastAsia"/>
          <w:kern w:val="0"/>
          <w:sz w:val="24"/>
          <w:szCs w:val="20"/>
          <w:lang w:val="zh-CN"/>
        </w:rPr>
        <w:t>以上；</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）其他</w:t>
      </w:r>
      <w:r>
        <w:rPr>
          <w:rFonts w:ascii="宋体"/>
          <w:kern w:val="0"/>
          <w:sz w:val="24"/>
          <w:szCs w:val="20"/>
          <w:lang w:val="zh-CN"/>
        </w:rPr>
        <w:t>100</w:t>
      </w:r>
      <w:r>
        <w:rPr>
          <w:rFonts w:ascii="宋体" w:hint="eastAsia"/>
          <w:kern w:val="0"/>
          <w:sz w:val="24"/>
          <w:szCs w:val="20"/>
          <w:lang w:val="zh-CN"/>
        </w:rPr>
        <w:t>千伏安（千瓦）以上用电（包括大、中型电力排灌站），功率因数为</w:t>
      </w:r>
      <w:r>
        <w:rPr>
          <w:rFonts w:ascii="宋体"/>
          <w:kern w:val="0"/>
          <w:sz w:val="24"/>
          <w:szCs w:val="20"/>
          <w:lang w:val="zh-CN"/>
        </w:rPr>
        <w:t>0.85</w:t>
      </w:r>
      <w:r>
        <w:rPr>
          <w:rFonts w:ascii="宋体" w:hint="eastAsia"/>
          <w:kern w:val="0"/>
          <w:sz w:val="24"/>
          <w:szCs w:val="20"/>
          <w:lang w:val="zh-CN"/>
        </w:rPr>
        <w:t>以上；</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）趸售和农业用电，功率因素为</w:t>
      </w:r>
      <w:r>
        <w:rPr>
          <w:rFonts w:ascii="宋体"/>
          <w:kern w:val="0"/>
          <w:sz w:val="24"/>
          <w:szCs w:val="20"/>
          <w:lang w:val="zh-CN"/>
        </w:rPr>
        <w:t>0.80.</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功率因数不能达到上述规定的新用电方，供电方可拒绝接电。未达到上述规定的现有用电方，应在二、三年内增添无功补偿设备，达到上述规定。对长期不增无功补偿设备又不申明理由的用户，供电方可停止或限制供电。供电方应督促和帮助用电方采取措施，提高功率因数。）</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用电方在供电前应申请用电指标，并就供电方式、装接容量、用电时间、产权划分、调度、通讯、计量方式和电费计收等项，与供电方签订供用电合同（或协议），供电方即可装表接电。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用电方的冲击性负荷、不对称负荷和整流用电等对供电质量和安全经济运行有影响者，应采取技术措施消除影响，否则供电方可不供电。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四、安全用电、计划用电、节约用电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安全用电：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）供电方供电设施的计划检修，校验和试验工作应统一安排，需要对用电方停电时，</w:t>
      </w:r>
      <w:r>
        <w:rPr>
          <w:rFonts w:ascii="宋体"/>
          <w:kern w:val="0"/>
          <w:sz w:val="24"/>
          <w:szCs w:val="20"/>
          <w:lang w:val="zh-CN"/>
        </w:rPr>
        <w:t>35</w:t>
      </w:r>
      <w:r>
        <w:rPr>
          <w:rFonts w:ascii="宋体" w:hint="eastAsia"/>
          <w:kern w:val="0"/>
          <w:sz w:val="24"/>
          <w:szCs w:val="20"/>
          <w:lang w:val="zh-CN"/>
        </w:rPr>
        <w:t>千伏以上每年一般不超过</w:t>
      </w:r>
      <w:r>
        <w:rPr>
          <w:rFonts w:ascii="宋体"/>
          <w:kern w:val="0"/>
          <w:sz w:val="24"/>
          <w:szCs w:val="20"/>
          <w:lang w:val="zh-CN"/>
        </w:rPr>
        <w:t>1</w:t>
      </w:r>
      <w:r>
        <w:rPr>
          <w:rFonts w:ascii="宋体" w:hint="eastAsia"/>
          <w:kern w:val="0"/>
          <w:sz w:val="24"/>
          <w:szCs w:val="20"/>
          <w:lang w:val="zh-CN"/>
        </w:rPr>
        <w:t>次；</w:t>
      </w:r>
      <w:r>
        <w:rPr>
          <w:rFonts w:ascii="宋体"/>
          <w:kern w:val="0"/>
          <w:sz w:val="24"/>
          <w:szCs w:val="20"/>
          <w:lang w:val="zh-CN"/>
        </w:rPr>
        <w:t>10</w:t>
      </w:r>
      <w:r>
        <w:rPr>
          <w:rFonts w:ascii="宋体" w:hint="eastAsia"/>
          <w:kern w:val="0"/>
          <w:sz w:val="24"/>
          <w:szCs w:val="20"/>
          <w:lang w:val="zh-CN"/>
        </w:rPr>
        <w:t>千伏每年一般不超过</w:t>
      </w:r>
      <w:r>
        <w:rPr>
          <w:rFonts w:ascii="宋体"/>
          <w:kern w:val="0"/>
          <w:sz w:val="24"/>
          <w:szCs w:val="20"/>
          <w:lang w:val="zh-CN"/>
        </w:rPr>
        <w:t>3</w:t>
      </w:r>
      <w:r>
        <w:rPr>
          <w:rFonts w:ascii="宋体" w:hint="eastAsia"/>
          <w:kern w:val="0"/>
          <w:sz w:val="24"/>
          <w:szCs w:val="20"/>
          <w:lang w:val="zh-CN"/>
        </w:rPr>
        <w:t>次。计划检修停电应在</w:t>
      </w:r>
      <w:r>
        <w:rPr>
          <w:rFonts w:ascii="宋体"/>
          <w:kern w:val="0"/>
          <w:sz w:val="24"/>
          <w:szCs w:val="20"/>
          <w:lang w:val="zh-CN"/>
        </w:rPr>
        <w:t>7</w:t>
      </w:r>
      <w:r>
        <w:rPr>
          <w:rFonts w:ascii="宋体" w:hint="eastAsia"/>
          <w:kern w:val="0"/>
          <w:sz w:val="24"/>
          <w:szCs w:val="20"/>
          <w:lang w:val="zh-CN"/>
        </w:rPr>
        <w:t>天前通知用电方。</w:t>
      </w:r>
    </w:p>
    <w:p w:rsidR="000143C8" w:rsidRDefault="000143C8">
      <w:pPr>
        <w:pStyle w:val="a3"/>
        <w:widowControl w:val="0"/>
        <w:autoSpaceDE w:val="0"/>
        <w:autoSpaceDN w:val="0"/>
        <w:adjustRightInd w:val="0"/>
        <w:spacing w:before="0" w:beforeAutospacing="0" w:after="0" w:afterAutospacing="0" w:line="480" w:lineRule="auto"/>
        <w:rPr>
          <w:rFonts w:hAnsi="Times New Roman"/>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方应定期进行电气设备和保护装置的检查、检修和试验，防止电气设备事故和错误操作；用电方的电气设备危及人身和运行安全时，应立即检修；多路电源供电的用电方应加装连锁装置，并按照双方签订的协议进行调度操作；装有自备发电机组的供电方备案，并应采取保安措施，防止在电网停电时向电网反送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用电方发生人身触电伤亡、主要电气设备损坏及用电方的原因引起电网停电等事故时，应立即向供电方报告，并在</w:t>
      </w:r>
      <w:r>
        <w:rPr>
          <w:rFonts w:ascii="宋体"/>
          <w:kern w:val="0"/>
          <w:sz w:val="24"/>
          <w:szCs w:val="20"/>
          <w:lang w:val="zh-CN"/>
        </w:rPr>
        <w:t>7</w:t>
      </w:r>
      <w:r>
        <w:rPr>
          <w:rFonts w:ascii="宋体" w:hint="eastAsia"/>
          <w:kern w:val="0"/>
          <w:sz w:val="24"/>
          <w:szCs w:val="20"/>
          <w:lang w:val="zh-CN"/>
        </w:rPr>
        <w:t>天内提出事故分析报告。</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电方与电力系统的继电保护方式，应相互配合，并按照原水利电力部颁发的有关规程进行整定和检验。由供电方整定、加封的继电保护装置及其二次回路和供电方规定的继电保护整定值，用电方不得自行变动。</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）供电方对用电方的安全用电工作应督促检查，并积极协助有关主管部门及用电方共同做好对用电方电工的技术培训和管理工作，定期进行安全技术考核。</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计划用电：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）用电方应定期提出计划用电指标的申请，内容包括：计划期内的生产任务、单位产品电耗定额、需用电量、最高电力负荷、生产班次和节约用电措施等。</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）用电方设备的检修应尽量安排在枯水期（用电方工业设备的检修应尽量安排在农业排灌季节）。</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）供电方和用电方都应服从电网统一调度，严格按指标供电和用电，不得超分超用。供电方应认真执行</w:t>
      </w:r>
      <w:r>
        <w:rPr>
          <w:rFonts w:ascii="宋体"/>
          <w:kern w:val="0"/>
          <w:sz w:val="24"/>
          <w:szCs w:val="20"/>
          <w:lang w:val="zh-CN"/>
        </w:rPr>
        <w:t>“</w:t>
      </w:r>
      <w:r>
        <w:rPr>
          <w:rFonts w:ascii="宋体" w:hint="eastAsia"/>
          <w:kern w:val="0"/>
          <w:sz w:val="24"/>
          <w:szCs w:val="20"/>
          <w:lang w:val="zh-CN"/>
        </w:rPr>
        <w:t>谁超限谁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超用扣还</w:t>
      </w:r>
      <w:r>
        <w:rPr>
          <w:rFonts w:ascii="宋体"/>
          <w:kern w:val="0"/>
          <w:sz w:val="24"/>
          <w:szCs w:val="20"/>
          <w:lang w:val="zh-CN"/>
        </w:rPr>
        <w:t>”</w:t>
      </w:r>
      <w:r>
        <w:rPr>
          <w:rFonts w:ascii="宋体" w:hint="eastAsia"/>
          <w:kern w:val="0"/>
          <w:sz w:val="24"/>
          <w:szCs w:val="20"/>
          <w:lang w:val="zh-CN"/>
        </w:rPr>
        <w:t>的原则。供电方装设电力定量装置，用电方不得拒绝。</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节约用电：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）用电方应定期编制节约用电措施计划，完成节约用电任务；供电方应督促、检查、帮助用电方的节约用电工作。</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）用电方应积极采用节约用电的技术措施，推广行之有效的节约经验。用电方因此节约用电，</w:t>
      </w:r>
      <w:r>
        <w:rPr>
          <w:rFonts w:ascii="宋体"/>
          <w:kern w:val="0"/>
          <w:sz w:val="24"/>
          <w:szCs w:val="20"/>
          <w:lang w:val="zh-CN"/>
        </w:rPr>
        <w:t>“</w:t>
      </w:r>
      <w:r>
        <w:rPr>
          <w:rFonts w:ascii="宋体" w:hint="eastAsia"/>
          <w:kern w:val="0"/>
          <w:sz w:val="24"/>
          <w:szCs w:val="20"/>
          <w:lang w:val="zh-CN"/>
        </w:rPr>
        <w:t>三电</w:t>
      </w:r>
      <w:r>
        <w:rPr>
          <w:rFonts w:ascii="宋体"/>
          <w:kern w:val="0"/>
          <w:sz w:val="24"/>
          <w:szCs w:val="20"/>
          <w:lang w:val="zh-CN"/>
        </w:rPr>
        <w:t>”</w:t>
      </w:r>
      <w:r>
        <w:rPr>
          <w:rFonts w:ascii="宋体" w:hint="eastAsia"/>
          <w:kern w:val="0"/>
          <w:sz w:val="24"/>
          <w:szCs w:val="20"/>
          <w:lang w:val="zh-CN"/>
        </w:rPr>
        <w:t>办公室不得减少其用电指标。凡国家推广的节约用电技术措施，用电方必须纳入节约用电措施计划，付诸实施。用电方如不采用，</w:t>
      </w:r>
      <w:r>
        <w:rPr>
          <w:rFonts w:ascii="宋体"/>
          <w:kern w:val="0"/>
          <w:sz w:val="24"/>
          <w:szCs w:val="20"/>
          <w:lang w:val="zh-CN"/>
        </w:rPr>
        <w:t>“</w:t>
      </w:r>
      <w:r>
        <w:rPr>
          <w:rFonts w:ascii="宋体" w:hint="eastAsia"/>
          <w:kern w:val="0"/>
          <w:sz w:val="24"/>
          <w:szCs w:val="20"/>
          <w:lang w:val="zh-CN"/>
        </w:rPr>
        <w:t>三电</w:t>
      </w:r>
      <w:r>
        <w:rPr>
          <w:rFonts w:ascii="宋体"/>
          <w:kern w:val="0"/>
          <w:sz w:val="24"/>
          <w:szCs w:val="20"/>
          <w:lang w:val="zh-CN"/>
        </w:rPr>
        <w:t>”</w:t>
      </w:r>
      <w:r>
        <w:rPr>
          <w:rFonts w:ascii="宋体" w:hint="eastAsia"/>
          <w:kern w:val="0"/>
          <w:sz w:val="24"/>
          <w:szCs w:val="20"/>
          <w:lang w:val="zh-CN"/>
        </w:rPr>
        <w:t>办公室可相应扣除用电指标。</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）供电方和用电方应加强非生产用电的管理，取消对家庭生活用电的包用、包费制，一律按实用电量由个人缴费。使用非生产性民炉，应经供电局批准。</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五、维护管理与产权分界</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供电方与用电方电气设备的维护管理范围按产权分界点划分，其确定原则如下：</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）低压供电的，以供电接户线的最后支持物为分界点，支持物属供电方；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千伏及以下高压供电的，以用电方界外或配电室前的第一断路器或进线套管为分界点（第一断路器或进线套管的维护管理责任，由双方协商确定）；</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35</w:t>
      </w:r>
      <w:r>
        <w:rPr>
          <w:rFonts w:ascii="宋体" w:hint="eastAsia"/>
          <w:kern w:val="0"/>
          <w:sz w:val="24"/>
          <w:szCs w:val="20"/>
          <w:lang w:val="zh-CN"/>
        </w:rPr>
        <w:t>千伏及以上高压供电的，以用电方界外或用电方变电站外第一基电杆为分界点，第一基电杆属供电方；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）产权属于用电方的线路，以分支点或以供电方变电所外第一基电杆为分界点（第一基电杆维护管理责任由双方协商确定）。</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（采用电缆供电的，本着便于维护管理的原则，由双方协商确定。）</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供电方和用电方分工维护管理的供电、用电设备，未经分管单位同意，不得操作或更动。如因紧急事故必须操作或更动者，事后应迅速通知分管单位。</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电方由于工程施工或线路维护上的需要，在用电方处凿墙、挖沟、掘坑、巡线等时，用户应给予方便。供电方人员应遵守用电方的有关安全保卫制度。用电方到供电方维护的设备区工作，应征得供电方同意，并在供电方人员监护下工作。竣工后，均应及时修复。</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六、电度计量与收费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计费电度表及其附件的购置、安装、移动、更换、校验、拆除、加封、启封等，均由供电方负责办理。高压电用电方的成套设备装有自备电度表及其附件的，经供电方同意并检验合格后，可用作计费电度表，并办理固定资产无偿转移手续，用电期间由供电方负责维护管理。用电终了后，再办理资产无偿转还手续。</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装设在</w:t>
      </w:r>
      <w:r>
        <w:rPr>
          <w:rFonts w:ascii="宋体"/>
          <w:kern w:val="0"/>
          <w:sz w:val="24"/>
          <w:szCs w:val="20"/>
          <w:lang w:val="zh-CN"/>
        </w:rPr>
        <w:t>63</w:t>
      </w:r>
      <w:r>
        <w:rPr>
          <w:rFonts w:ascii="宋体" w:hint="eastAsia"/>
          <w:kern w:val="0"/>
          <w:sz w:val="24"/>
          <w:szCs w:val="20"/>
          <w:lang w:val="zh-CN"/>
        </w:rPr>
        <w:t>千伏及以上计量点的计费电度表应使用互感器的专用二次回路；装设在</w:t>
      </w:r>
      <w:r>
        <w:rPr>
          <w:rFonts w:ascii="宋体"/>
          <w:kern w:val="0"/>
          <w:sz w:val="24"/>
          <w:szCs w:val="20"/>
          <w:lang w:val="zh-CN"/>
        </w:rPr>
        <w:t>63</w:t>
      </w:r>
      <w:r>
        <w:rPr>
          <w:rFonts w:ascii="宋体" w:hint="eastAsia"/>
          <w:kern w:val="0"/>
          <w:sz w:val="24"/>
          <w:szCs w:val="20"/>
          <w:lang w:val="zh-CN"/>
        </w:rPr>
        <w:t>千伏以下计量点的计费电度表应设置专用的互感器，不得与保护、测量等回路共用，现已共用的，应逐步改造。</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计费电度表应装在产权分界处，变压器的有功、无功损耗和线路损失由产权所有者负担。</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用电方对供电方安装的计费电度表及附件应负责保管，如遗失或因用电方责任损坏，应赔偿或负担修理费。由于用电方原因需要移动表信时，工料费由用电方负担。</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方要求校验计费电度时，供电方应尽速办理，经校验合格者，应收校验费；不合格者，不收校验费。用电方对校验结果仍有异议时，可要求供电方上级计量监督机构直至国家计量局参加处理。用电方自备的分表，供电方应接受修理校验，收取费用。</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计费电度计量装置误差超过允许范围或记录不准，供电方应按实际误差及起讫时间，退还或补收电费。起讫时间查不清时，可按《全国供用电规则》的规定办法计算。</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供电方应固定抄表日期，按期抄表收费。用电方应按供电方规定的期限交付电费。对逾期不交者，按规定加收迟纳金，并可停止供电。</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供电方对用电量较多的用电方，由银行分次划拨电费，月末抄表结算。供电方可委托银行、农村信用社托收或代收电费。</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七、违约责任</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供电方未按计划指标向用电方供电时，事后应补还少供的电力、电量，应向用电方偿付少供电量电费的</w:t>
      </w:r>
      <w:r>
        <w:rPr>
          <w:rFonts w:ascii="宋体" w:hint="eastAsia"/>
          <w:kern w:val="0"/>
          <w:sz w:val="24"/>
          <w:szCs w:val="20"/>
          <w:u w:val="single"/>
          <w:lang w:val="zh-CN"/>
        </w:rPr>
        <w:t xml:space="preserve">      </w:t>
      </w:r>
      <w:r>
        <w:rPr>
          <w:rFonts w:ascii="宋体" w:hint="eastAsia"/>
          <w:kern w:val="0"/>
          <w:sz w:val="24"/>
          <w:szCs w:val="20"/>
          <w:lang w:val="zh-CN"/>
        </w:rPr>
        <w:t>％的违约金，违约金不足以赔偿用电方损失的，供电方并应赔偿用电方的损失；用电方超计划指标用电时（包括低容少用电力），供电方除扣还其超用电量外，并征违约金，违约金按多用电量电费的</w:t>
      </w:r>
      <w:r>
        <w:rPr>
          <w:rFonts w:ascii="宋体" w:hint="eastAsia"/>
          <w:kern w:val="0"/>
          <w:sz w:val="24"/>
          <w:szCs w:val="20"/>
          <w:u w:val="single"/>
          <w:lang w:val="zh-CN"/>
        </w:rPr>
        <w:t xml:space="preserve">       </w:t>
      </w:r>
      <w:r>
        <w:rPr>
          <w:rFonts w:ascii="宋体" w:hint="eastAsia"/>
          <w:kern w:val="0"/>
          <w:sz w:val="24"/>
          <w:szCs w:val="20"/>
          <w:lang w:val="zh-CN"/>
        </w:rPr>
        <w:t>％计算。</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供电方由于运行、操作的责任事故造成用电方停电时，供电方应按用电方在停电时间内可能用电量的电度电费的</w:t>
      </w:r>
      <w:r>
        <w:rPr>
          <w:rFonts w:ascii="宋体"/>
          <w:kern w:val="0"/>
          <w:sz w:val="24"/>
          <w:szCs w:val="20"/>
          <w:lang w:val="zh-CN"/>
        </w:rPr>
        <w:t>5</w:t>
      </w:r>
      <w:r>
        <w:rPr>
          <w:rFonts w:ascii="宋体" w:hint="eastAsia"/>
          <w:kern w:val="0"/>
          <w:sz w:val="24"/>
          <w:szCs w:val="20"/>
          <w:lang w:val="zh-CN"/>
        </w:rPr>
        <w:t>倍（单一制电价为</w:t>
      </w:r>
      <w:r>
        <w:rPr>
          <w:rFonts w:ascii="宋体"/>
          <w:kern w:val="0"/>
          <w:sz w:val="24"/>
          <w:szCs w:val="20"/>
          <w:lang w:val="zh-CN"/>
        </w:rPr>
        <w:t>4</w:t>
      </w:r>
      <w:r>
        <w:rPr>
          <w:rFonts w:ascii="宋体" w:hint="eastAsia"/>
          <w:kern w:val="0"/>
          <w:sz w:val="24"/>
          <w:szCs w:val="20"/>
          <w:lang w:val="zh-CN"/>
        </w:rPr>
        <w:t>倍）给予赔偿，该可能用电量按停电前用电方正常用电量计算。但电力系统开关掉闸，经自动重合闸重合良好或对有备用电源的用电方，只停其中一路电源，其它电源可以满足用电方备用供电设备能力时，供电方不负赔偿责任。</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由于用电方的责任造成供电方对外停电，用电方应按少供电量电费予以赔偿。用电方引起的事故，因供电方的责任而扩大停电范围，则用电方不负事故扩大部分的赔偿责任。</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供电电压超出本合同规定的变动幅度时，供电方应按用电方实际所用的不合格电量电费的</w:t>
      </w:r>
      <w:r>
        <w:rPr>
          <w:rFonts w:ascii="宋体"/>
          <w:kern w:val="0"/>
          <w:sz w:val="24"/>
          <w:szCs w:val="20"/>
          <w:lang w:val="zh-CN"/>
        </w:rPr>
        <w:t>20</w:t>
      </w:r>
      <w:r>
        <w:rPr>
          <w:rFonts w:ascii="宋体" w:hint="eastAsia"/>
          <w:kern w:val="0"/>
          <w:sz w:val="24"/>
          <w:szCs w:val="20"/>
          <w:lang w:val="zh-CN"/>
        </w:rPr>
        <w:t>％给予赔偿。但用电方用电的功率因数未达到本合同规定，或其他用电方的内部原因引起电压波动，供电方不负责任。</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电压波动超出允许变动幅度的时间，以用户自备并经供电方校验合格的电压自动记录仪的记录为准；如用电方未装此仪表，则以供电方变电所的电压记录为准。</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供电周率超出本合同规定的允许偏差时，供电方应按用电方实际所用不合格电量电费的</w:t>
      </w:r>
      <w:r>
        <w:rPr>
          <w:rFonts w:ascii="宋体"/>
          <w:kern w:val="0"/>
          <w:sz w:val="24"/>
          <w:szCs w:val="20"/>
          <w:lang w:val="zh-CN"/>
        </w:rPr>
        <w:t>20</w:t>
      </w:r>
      <w:r>
        <w:rPr>
          <w:rFonts w:ascii="宋体" w:hint="eastAsia"/>
          <w:kern w:val="0"/>
          <w:sz w:val="24"/>
          <w:szCs w:val="20"/>
          <w:lang w:val="zh-CN"/>
        </w:rPr>
        <w:t>％予以赔偿。</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周率变动超出允许偏差的时间，以用电方自备并经供电方检验合格的周率自动记录仪表记录为准。</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供电方如因施工错误或由于供电方的责任导致高压供电线路断落连接到低压供电线路，造成用电方用电设备烧毁时，应对该设备修复或给予合理赔偿。</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用电方如在电价低的供电线路上，私自接用电价高的用电设备或私自改变用电类别，按实际使用时间向供电方补交差额电费，并处以</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倍差额电费的罚金。对使用起讫日期难以确定者，至少按</w:t>
      </w:r>
      <w:r>
        <w:rPr>
          <w:rFonts w:ascii="宋体"/>
          <w:kern w:val="0"/>
          <w:sz w:val="24"/>
          <w:szCs w:val="20"/>
          <w:lang w:val="zh-CN"/>
        </w:rPr>
        <w:t>3</w:t>
      </w:r>
      <w:r>
        <w:rPr>
          <w:rFonts w:ascii="宋体" w:hint="eastAsia"/>
          <w:kern w:val="0"/>
          <w:sz w:val="24"/>
          <w:szCs w:val="20"/>
          <w:lang w:val="zh-CN"/>
        </w:rPr>
        <w:t>个月计算。</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用电方超过报装容量私自增加用电容量，应追补电费，处以每千瓦（千伏安）</w:t>
      </w:r>
      <w:r>
        <w:rPr>
          <w:rFonts w:ascii="宋体"/>
          <w:kern w:val="0"/>
          <w:sz w:val="24"/>
          <w:szCs w:val="20"/>
          <w:lang w:val="zh-CN"/>
        </w:rPr>
        <w:t>20</w:t>
      </w:r>
      <w:r>
        <w:rPr>
          <w:rFonts w:ascii="宋体" w:hint="eastAsia"/>
          <w:kern w:val="0"/>
          <w:sz w:val="24"/>
          <w:szCs w:val="20"/>
          <w:lang w:val="zh-CN"/>
        </w:rPr>
        <w:t>元的违约金，并拆、封私增设备。用电方擅自使用已报暂停电气设备或启用封存电气设备，应追补电费，处以每千瓦</w:t>
      </w:r>
      <w:r>
        <w:rPr>
          <w:rFonts w:ascii="宋体"/>
          <w:kern w:val="0"/>
          <w:sz w:val="24"/>
          <w:szCs w:val="20"/>
          <w:lang w:val="zh-CN"/>
        </w:rPr>
        <w:t>20</w:t>
      </w:r>
      <w:r>
        <w:rPr>
          <w:rFonts w:ascii="宋体" w:hint="eastAsia"/>
          <w:kern w:val="0"/>
          <w:sz w:val="24"/>
          <w:szCs w:val="20"/>
          <w:lang w:val="zh-CN"/>
        </w:rPr>
        <w:t>元的罚金，并再次封存擅自启用的电气设备。</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用电方如私自迁移、更动和擅自操作供电方的电度计量装置、电力定量装置、线路或其他供电设施，处以</w:t>
      </w:r>
      <w:r>
        <w:rPr>
          <w:rFonts w:ascii="宋体"/>
          <w:kern w:val="0"/>
          <w:sz w:val="24"/>
          <w:szCs w:val="20"/>
          <w:lang w:val="zh-CN"/>
        </w:rPr>
        <w:t>20</w:t>
      </w:r>
      <w:r>
        <w:rPr>
          <w:rFonts w:ascii="宋体" w:hint="eastAsia"/>
          <w:kern w:val="0"/>
          <w:sz w:val="24"/>
          <w:szCs w:val="20"/>
          <w:lang w:val="zh-CN"/>
        </w:rPr>
        <w:t>至</w:t>
      </w:r>
      <w:r>
        <w:rPr>
          <w:rFonts w:ascii="宋体"/>
          <w:kern w:val="0"/>
          <w:sz w:val="24"/>
          <w:szCs w:val="20"/>
          <w:lang w:val="zh-CN"/>
        </w:rPr>
        <w:t>50</w:t>
      </w:r>
      <w:r>
        <w:rPr>
          <w:rFonts w:ascii="宋体" w:hint="eastAsia"/>
          <w:kern w:val="0"/>
          <w:sz w:val="24"/>
          <w:szCs w:val="20"/>
          <w:lang w:val="zh-CN"/>
        </w:rPr>
        <w:t>元的罚金。用电方经供电方同意，自行引入备用电源，按接用容量处以每千瓦</w:t>
      </w:r>
      <w:r>
        <w:rPr>
          <w:rFonts w:ascii="宋体"/>
          <w:kern w:val="0"/>
          <w:sz w:val="24"/>
          <w:szCs w:val="20"/>
          <w:lang w:val="zh-CN"/>
        </w:rPr>
        <w:t>50</w:t>
      </w:r>
      <w:r>
        <w:rPr>
          <w:rFonts w:ascii="宋体" w:hint="eastAsia"/>
          <w:kern w:val="0"/>
          <w:sz w:val="24"/>
          <w:szCs w:val="20"/>
          <w:lang w:val="zh-CN"/>
        </w:rPr>
        <w:t>元的罚金。</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八、其它</w:t>
      </w:r>
    </w:p>
    <w:p w:rsidR="000143C8" w:rsidRDefault="000143C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本合同生效后，供、用电双方均不得擅自修改或废止。合同中如有特殊情况需要修改，或有未尽事宜，须经双方协商，根据《全国供用电规则》作出补充协定，补充协定与本合同具有同等效力。</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w:t>
      </w:r>
      <w:r>
        <w:rPr>
          <w:rFonts w:ascii="宋体"/>
          <w:kern w:val="0"/>
          <w:sz w:val="24"/>
          <w:szCs w:val="20"/>
          <w:lang w:val="zh-CN"/>
        </w:rPr>
        <w:t>2</w:t>
      </w:r>
      <w:r>
        <w:rPr>
          <w:rFonts w:ascii="宋体" w:hint="eastAsia"/>
          <w:kern w:val="0"/>
          <w:sz w:val="24"/>
          <w:szCs w:val="20"/>
          <w:lang w:val="zh-CN"/>
        </w:rPr>
        <w:t>份，供、用电双方各执</w:t>
      </w:r>
      <w:r>
        <w:rPr>
          <w:rFonts w:ascii="宋体"/>
          <w:kern w:val="0"/>
          <w:sz w:val="24"/>
          <w:szCs w:val="20"/>
          <w:lang w:val="zh-CN"/>
        </w:rPr>
        <w:t>1</w:t>
      </w:r>
      <w:r>
        <w:rPr>
          <w:rFonts w:ascii="宋体" w:hint="eastAsia"/>
          <w:kern w:val="0"/>
          <w:sz w:val="24"/>
          <w:szCs w:val="20"/>
          <w:lang w:val="zh-CN"/>
        </w:rPr>
        <w:t>份；合同副本一式</w:t>
      </w:r>
      <w:r>
        <w:rPr>
          <w:rFonts w:ascii="宋体" w:hint="eastAsia"/>
          <w:kern w:val="0"/>
          <w:sz w:val="24"/>
          <w:szCs w:val="20"/>
          <w:u w:val="single"/>
          <w:lang w:val="zh-CN"/>
        </w:rPr>
        <w:t xml:space="preserve">       </w:t>
      </w:r>
      <w:r>
        <w:rPr>
          <w:rFonts w:ascii="宋体" w:hint="eastAsia"/>
          <w:kern w:val="0"/>
          <w:sz w:val="24"/>
          <w:szCs w:val="20"/>
          <w:lang w:val="zh-CN"/>
        </w:rPr>
        <w:t>份，交</w:t>
      </w:r>
      <w:r>
        <w:rPr>
          <w:rFonts w:ascii="宋体" w:hint="eastAsia"/>
          <w:kern w:val="0"/>
          <w:sz w:val="24"/>
          <w:szCs w:val="20"/>
          <w:u w:val="single"/>
          <w:lang w:val="zh-CN"/>
        </w:rPr>
        <w:t xml:space="preserve">       </w:t>
      </w:r>
      <w:r>
        <w:rPr>
          <w:rFonts w:ascii="宋体" w:hint="eastAsia"/>
          <w:kern w:val="0"/>
          <w:sz w:val="24"/>
          <w:szCs w:val="20"/>
          <w:lang w:val="zh-CN"/>
        </w:rPr>
        <w:t>等单位各留存</w:t>
      </w:r>
      <w:r>
        <w:rPr>
          <w:rFonts w:ascii="宋体"/>
          <w:kern w:val="0"/>
          <w:sz w:val="24"/>
          <w:szCs w:val="20"/>
          <w:lang w:val="zh-CN"/>
        </w:rPr>
        <w:t>1</w:t>
      </w:r>
      <w:r>
        <w:rPr>
          <w:rFonts w:ascii="宋体" w:hint="eastAsia"/>
          <w:kern w:val="0"/>
          <w:sz w:val="24"/>
          <w:szCs w:val="20"/>
          <w:lang w:val="zh-CN"/>
        </w:rPr>
        <w:t>份。</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供电方：</w:t>
      </w:r>
      <w:r>
        <w:rPr>
          <w:rFonts w:ascii="宋体" w:hint="eastAsia"/>
          <w:kern w:val="0"/>
          <w:sz w:val="24"/>
          <w:szCs w:val="20"/>
          <w:u w:val="single"/>
          <w:lang w:val="zh-CN"/>
        </w:rPr>
        <w:t xml:space="preserve">                     </w:t>
      </w:r>
      <w:r>
        <w:rPr>
          <w:rFonts w:ascii="宋体" w:hint="eastAsia"/>
          <w:kern w:val="0"/>
          <w:sz w:val="24"/>
          <w:szCs w:val="20"/>
          <w:lang w:val="zh-CN"/>
        </w:rPr>
        <w:t>（公章）</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（盖章）</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开户银行及帐号：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用电方：</w:t>
      </w:r>
      <w:r>
        <w:rPr>
          <w:rFonts w:ascii="宋体" w:hint="eastAsia"/>
          <w:kern w:val="0"/>
          <w:sz w:val="24"/>
          <w:szCs w:val="20"/>
          <w:u w:val="single"/>
          <w:lang w:val="zh-CN"/>
        </w:rPr>
        <w:t xml:space="preserve">                     </w:t>
      </w:r>
      <w:r>
        <w:rPr>
          <w:rFonts w:ascii="宋体" w:hint="eastAsia"/>
          <w:kern w:val="0"/>
          <w:sz w:val="24"/>
          <w:szCs w:val="20"/>
          <w:lang w:val="zh-CN"/>
        </w:rPr>
        <w:t>（公章）</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（盖章）</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开户银行及帐号：</w:t>
      </w:r>
      <w:r>
        <w:rPr>
          <w:rFonts w:ascii="宋体" w:hint="eastAsia"/>
          <w:kern w:val="0"/>
          <w:sz w:val="24"/>
          <w:szCs w:val="20"/>
          <w:u w:val="single"/>
          <w:lang w:val="zh-CN"/>
        </w:rPr>
        <w:t xml:space="preserve">                          </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签约时间：</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rsidR="000143C8" w:rsidRDefault="000143C8">
      <w:pPr>
        <w:autoSpaceDE w:val="0"/>
        <w:autoSpaceDN w:val="0"/>
        <w:adjustRightInd w:val="0"/>
        <w:spacing w:line="480" w:lineRule="auto"/>
        <w:jc w:val="left"/>
        <w:rPr>
          <w:rFonts w:ascii="宋体"/>
          <w:kern w:val="0"/>
          <w:sz w:val="24"/>
          <w:szCs w:val="20"/>
          <w:lang w:val="zh-CN"/>
        </w:rPr>
      </w:pPr>
    </w:p>
    <w:p w:rsidR="000143C8" w:rsidRDefault="000143C8">
      <w:pPr>
        <w:autoSpaceDE w:val="0"/>
        <w:autoSpaceDN w:val="0"/>
        <w:adjustRightInd w:val="0"/>
        <w:spacing w:line="480" w:lineRule="auto"/>
        <w:jc w:val="left"/>
        <w:rPr>
          <w:sz w:val="24"/>
          <w:szCs w:val="20"/>
        </w:rPr>
      </w:pPr>
      <w:r>
        <w:rPr>
          <w:rFonts w:ascii="宋体" w:hint="eastAsia"/>
          <w:kern w:val="0"/>
          <w:sz w:val="24"/>
          <w:szCs w:val="20"/>
          <w:lang w:val="zh-CN"/>
        </w:rPr>
        <w:t xml:space="preserve">　　签约地点：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0143C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43C8" w:rsidRDefault="000143C8" w:rsidP="00A11443">
      <w:r>
        <w:separator/>
      </w:r>
    </w:p>
  </w:endnote>
  <w:endnote w:type="continuationSeparator" w:id="0">
    <w:p w:rsidR="000143C8" w:rsidRDefault="000143C8" w:rsidP="00A11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43C8" w:rsidRDefault="000143C8" w:rsidP="00A11443">
      <w:r>
        <w:separator/>
      </w:r>
    </w:p>
  </w:footnote>
  <w:footnote w:type="continuationSeparator" w:id="0">
    <w:p w:rsidR="000143C8" w:rsidRDefault="000143C8" w:rsidP="00A11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7B140EE2"/>
    <w:multiLevelType w:val="hybridMultilevel"/>
    <w:tmpl w:val="26502DF6"/>
    <w:lvl w:ilvl="0" w:tplc="A3A6B040">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01813971">
    <w:abstractNumId w:val="7"/>
  </w:num>
  <w:num w:numId="2" w16cid:durableId="2102138314">
    <w:abstractNumId w:val="4"/>
  </w:num>
  <w:num w:numId="3" w16cid:durableId="163250499">
    <w:abstractNumId w:val="14"/>
  </w:num>
  <w:num w:numId="4" w16cid:durableId="440074953">
    <w:abstractNumId w:val="2"/>
  </w:num>
  <w:num w:numId="5" w16cid:durableId="121701680">
    <w:abstractNumId w:val="3"/>
  </w:num>
  <w:num w:numId="6" w16cid:durableId="1012149741">
    <w:abstractNumId w:val="5"/>
  </w:num>
  <w:num w:numId="7" w16cid:durableId="693386169">
    <w:abstractNumId w:val="0"/>
  </w:num>
  <w:num w:numId="8" w16cid:durableId="1472746984">
    <w:abstractNumId w:val="17"/>
  </w:num>
  <w:num w:numId="9" w16cid:durableId="1783838669">
    <w:abstractNumId w:val="13"/>
  </w:num>
  <w:num w:numId="10" w16cid:durableId="1717463014">
    <w:abstractNumId w:val="15"/>
  </w:num>
  <w:num w:numId="11" w16cid:durableId="880870342">
    <w:abstractNumId w:val="16"/>
  </w:num>
  <w:num w:numId="12" w16cid:durableId="1703092876">
    <w:abstractNumId w:val="8"/>
  </w:num>
  <w:num w:numId="13" w16cid:durableId="462770694">
    <w:abstractNumId w:val="12"/>
  </w:num>
  <w:num w:numId="14" w16cid:durableId="58986013">
    <w:abstractNumId w:val="10"/>
  </w:num>
  <w:num w:numId="15" w16cid:durableId="782844420">
    <w:abstractNumId w:val="6"/>
  </w:num>
  <w:num w:numId="16" w16cid:durableId="1253709927">
    <w:abstractNumId w:val="1"/>
  </w:num>
  <w:num w:numId="17" w16cid:durableId="1264460600">
    <w:abstractNumId w:val="11"/>
  </w:num>
  <w:num w:numId="18" w16cid:durableId="1475682793">
    <w:abstractNumId w:val="9"/>
  </w:num>
  <w:num w:numId="19" w16cid:durableId="4365586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4D3C"/>
    <w:rsid w:val="000143C8"/>
    <w:rsid w:val="00134D3C"/>
    <w:rsid w:val="00A11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8115916-B511-44BB-82EB-DFAB7B9E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11443"/>
    <w:pPr>
      <w:tabs>
        <w:tab w:val="center" w:pos="4153"/>
        <w:tab w:val="right" w:pos="8306"/>
      </w:tabs>
      <w:snapToGrid w:val="0"/>
      <w:jc w:val="center"/>
    </w:pPr>
    <w:rPr>
      <w:sz w:val="18"/>
      <w:szCs w:val="18"/>
    </w:rPr>
  </w:style>
  <w:style w:type="character" w:customStyle="1" w:styleId="a6">
    <w:name w:val="页眉 字符"/>
    <w:basedOn w:val="a0"/>
    <w:link w:val="a5"/>
    <w:uiPriority w:val="99"/>
    <w:rsid w:val="00A11443"/>
    <w:rPr>
      <w:kern w:val="2"/>
      <w:sz w:val="18"/>
      <w:szCs w:val="18"/>
    </w:rPr>
  </w:style>
  <w:style w:type="paragraph" w:styleId="a7">
    <w:name w:val="footer"/>
    <w:basedOn w:val="a"/>
    <w:link w:val="a8"/>
    <w:uiPriority w:val="99"/>
    <w:unhideWhenUsed/>
    <w:rsid w:val="00A11443"/>
    <w:pPr>
      <w:tabs>
        <w:tab w:val="center" w:pos="4153"/>
        <w:tab w:val="right" w:pos="8306"/>
      </w:tabs>
      <w:snapToGrid w:val="0"/>
      <w:jc w:val="left"/>
    </w:pPr>
    <w:rPr>
      <w:sz w:val="18"/>
      <w:szCs w:val="18"/>
    </w:rPr>
  </w:style>
  <w:style w:type="character" w:customStyle="1" w:styleId="a8">
    <w:name w:val="页脚 字符"/>
    <w:basedOn w:val="a0"/>
    <w:link w:val="a7"/>
    <w:uiPriority w:val="99"/>
    <w:rsid w:val="00A1144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919</Words>
  <Characters>5244</Characters>
  <Application>Microsoft Office Word</Application>
  <DocSecurity>4</DocSecurity>
  <Lines>43</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2026-04-05T07:30:00Z</dcterms:created>
  <dcterms:modified xsi:type="dcterms:W3CDTF">2026-04-05T07:30:00Z</dcterms:modified>
</cp:coreProperties>
</file>