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7911" w:rsidRDefault="00167911" w:rsidP="00167911">
      <w:pPr>
        <w:pStyle w:val="a3"/>
        <w:spacing w:line="432" w:lineRule="auto"/>
        <w:rPr>
          <w:rFonts w:ascii="ˎ̥" w:hAnsi="ˎ̥" w:hint="eastAsia"/>
          <w:color w:val="000000"/>
          <w:sz w:val="18"/>
          <w:szCs w:val="18"/>
        </w:rPr>
      </w:pPr>
      <w:r>
        <w:rPr>
          <w:rFonts w:ascii="ˎ̥" w:hAnsi="ˎ̥"/>
          <w:b/>
          <w:bCs/>
          <w:color w:val="000000"/>
          <w:sz w:val="33"/>
          <w:szCs w:val="33"/>
        </w:rPr>
        <w:t>票务代理刚兴起</w:t>
      </w:r>
      <w:r>
        <w:rPr>
          <w:rFonts w:ascii="ˎ̥" w:hAnsi="ˎ̥"/>
          <w:b/>
          <w:bCs/>
          <w:color w:val="000000"/>
          <w:sz w:val="33"/>
          <w:szCs w:val="33"/>
        </w:rPr>
        <w:t xml:space="preserve"> </w:t>
      </w:r>
      <w:r>
        <w:rPr>
          <w:rFonts w:ascii="ˎ̥" w:hAnsi="ˎ̥"/>
          <w:b/>
          <w:bCs/>
          <w:color w:val="000000"/>
          <w:sz w:val="33"/>
          <w:szCs w:val="33"/>
        </w:rPr>
        <w:t>签订合同多留意</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近年来，随着文化旅游市场的升温，票务销售代理也逐渐兴起。文化旅游实体经营者愿将票务销售外包给票务公司，看中的正是其专业的销售技巧与广泛的销售途径。但由于双方合同约定不明确以及票务公司的良莠不齐，导致相关纠纷日益增多。</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合同结算期限与方式不明</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刘某系北京郊区一山庄俱乐部经营者，其与一文化传播公司签订票务代理协议，约定该文化传播公司销售刘某提供的门票，双方按照</w:t>
      </w:r>
      <w:r>
        <w:rPr>
          <w:rFonts w:ascii="ˎ̥" w:hAnsi="ˎ̥"/>
          <w:color w:val="000000"/>
          <w:sz w:val="18"/>
          <w:szCs w:val="18"/>
        </w:rPr>
        <w:t>“</w:t>
      </w:r>
      <w:r>
        <w:rPr>
          <w:rFonts w:ascii="ˎ̥" w:hAnsi="ˎ̥"/>
          <w:color w:val="000000"/>
          <w:sz w:val="18"/>
          <w:szCs w:val="18"/>
        </w:rPr>
        <w:t>周一至周五</w:t>
      </w:r>
      <w:r>
        <w:rPr>
          <w:rFonts w:ascii="ˎ̥" w:hAnsi="ˎ̥"/>
          <w:color w:val="000000"/>
          <w:sz w:val="18"/>
          <w:szCs w:val="18"/>
        </w:rPr>
        <w:t>40</w:t>
      </w:r>
      <w:r>
        <w:rPr>
          <w:rFonts w:ascii="ˎ̥" w:hAnsi="ˎ̥"/>
          <w:color w:val="000000"/>
          <w:sz w:val="18"/>
          <w:szCs w:val="18"/>
        </w:rPr>
        <w:t>元</w:t>
      </w:r>
      <w:r>
        <w:rPr>
          <w:rFonts w:ascii="ˎ̥" w:hAnsi="ˎ̥"/>
          <w:color w:val="000000"/>
          <w:sz w:val="18"/>
          <w:szCs w:val="18"/>
        </w:rPr>
        <w:t>/</w:t>
      </w:r>
      <w:r>
        <w:rPr>
          <w:rFonts w:ascii="ˎ̥" w:hAnsi="ˎ̥"/>
          <w:color w:val="000000"/>
          <w:sz w:val="18"/>
          <w:szCs w:val="18"/>
        </w:rPr>
        <w:t>人半日，周六、日</w:t>
      </w:r>
      <w:r>
        <w:rPr>
          <w:rFonts w:ascii="ˎ̥" w:hAnsi="ˎ̥"/>
          <w:color w:val="000000"/>
          <w:sz w:val="18"/>
          <w:szCs w:val="18"/>
        </w:rPr>
        <w:t>60</w:t>
      </w:r>
      <w:r>
        <w:rPr>
          <w:rFonts w:ascii="ˎ̥" w:hAnsi="ˎ̥"/>
          <w:color w:val="000000"/>
          <w:sz w:val="18"/>
          <w:szCs w:val="18"/>
        </w:rPr>
        <w:t>元</w:t>
      </w:r>
      <w:r>
        <w:rPr>
          <w:rFonts w:ascii="ˎ̥" w:hAnsi="ˎ̥"/>
          <w:color w:val="000000"/>
          <w:sz w:val="18"/>
          <w:szCs w:val="18"/>
        </w:rPr>
        <w:t>/</w:t>
      </w:r>
      <w:r>
        <w:rPr>
          <w:rFonts w:ascii="ˎ̥" w:hAnsi="ˎ̥"/>
          <w:color w:val="000000"/>
          <w:sz w:val="18"/>
          <w:szCs w:val="18"/>
        </w:rPr>
        <w:t>人半日</w:t>
      </w:r>
      <w:r>
        <w:rPr>
          <w:rFonts w:ascii="ˎ̥" w:hAnsi="ˎ̥"/>
          <w:color w:val="000000"/>
          <w:sz w:val="18"/>
          <w:szCs w:val="18"/>
        </w:rPr>
        <w:t>”</w:t>
      </w:r>
      <w:r>
        <w:rPr>
          <w:rFonts w:ascii="ˎ̥" w:hAnsi="ˎ̥"/>
          <w:color w:val="000000"/>
          <w:sz w:val="18"/>
          <w:szCs w:val="18"/>
        </w:rPr>
        <w:t>的价格进行结算，合同期限一年。合同签订后，文化传播公司依约支付预付款</w:t>
      </w:r>
      <w:r>
        <w:rPr>
          <w:rFonts w:ascii="ˎ̥" w:hAnsi="ˎ̥"/>
          <w:color w:val="000000"/>
          <w:sz w:val="18"/>
          <w:szCs w:val="18"/>
        </w:rPr>
        <w:t>10</w:t>
      </w:r>
      <w:r>
        <w:rPr>
          <w:rFonts w:ascii="ˎ̥" w:hAnsi="ˎ̥"/>
          <w:color w:val="000000"/>
          <w:sz w:val="18"/>
          <w:szCs w:val="18"/>
        </w:rPr>
        <w:t>万元。合同期限届满后，文化传播公司将刘某告上法庭，称在合同期限内，公司实际销售门票金额共计</w:t>
      </w:r>
      <w:r>
        <w:rPr>
          <w:rFonts w:ascii="ˎ̥" w:hAnsi="ˎ̥"/>
          <w:color w:val="000000"/>
          <w:sz w:val="18"/>
          <w:szCs w:val="18"/>
        </w:rPr>
        <w:t>6600</w:t>
      </w:r>
      <w:r>
        <w:rPr>
          <w:rFonts w:ascii="ˎ̥" w:hAnsi="ˎ̥"/>
          <w:color w:val="000000"/>
          <w:sz w:val="18"/>
          <w:szCs w:val="18"/>
        </w:rPr>
        <w:t>元，因此刘某应返还</w:t>
      </w:r>
      <w:r>
        <w:rPr>
          <w:rFonts w:ascii="ˎ̥" w:hAnsi="ˎ̥"/>
          <w:color w:val="000000"/>
          <w:sz w:val="18"/>
          <w:szCs w:val="18"/>
        </w:rPr>
        <w:t>“</w:t>
      </w:r>
      <w:r>
        <w:rPr>
          <w:rFonts w:ascii="ˎ̥" w:hAnsi="ˎ̥"/>
          <w:color w:val="000000"/>
          <w:sz w:val="18"/>
          <w:szCs w:val="18"/>
        </w:rPr>
        <w:t>预付款</w:t>
      </w:r>
      <w:r>
        <w:rPr>
          <w:rFonts w:ascii="ˎ̥" w:hAnsi="ˎ̥"/>
          <w:color w:val="000000"/>
          <w:sz w:val="18"/>
          <w:szCs w:val="18"/>
        </w:rPr>
        <w:t>”</w:t>
      </w:r>
      <w:r>
        <w:rPr>
          <w:rFonts w:ascii="ˎ̥" w:hAnsi="ˎ̥"/>
          <w:color w:val="000000"/>
          <w:sz w:val="18"/>
          <w:szCs w:val="18"/>
        </w:rPr>
        <w:t>中多出的部分</w:t>
      </w:r>
      <w:r>
        <w:rPr>
          <w:rFonts w:ascii="ˎ̥" w:hAnsi="ˎ̥"/>
          <w:color w:val="000000"/>
          <w:sz w:val="18"/>
          <w:szCs w:val="18"/>
        </w:rPr>
        <w:t>9.34</w:t>
      </w:r>
      <w:r>
        <w:rPr>
          <w:rFonts w:ascii="ˎ̥" w:hAnsi="ˎ̥"/>
          <w:color w:val="000000"/>
          <w:sz w:val="18"/>
          <w:szCs w:val="18"/>
        </w:rPr>
        <w:t>万元。</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法官说法</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我国合同法第十二条规定，合同的内容由当事人约定，其主要包括</w:t>
      </w:r>
      <w:r>
        <w:rPr>
          <w:rFonts w:ascii="ˎ̥" w:hAnsi="ˎ̥"/>
          <w:color w:val="000000"/>
          <w:sz w:val="18"/>
          <w:szCs w:val="18"/>
        </w:rPr>
        <w:t>“</w:t>
      </w:r>
      <w:r>
        <w:rPr>
          <w:rFonts w:ascii="ˎ̥" w:hAnsi="ˎ̥"/>
          <w:color w:val="000000"/>
          <w:sz w:val="18"/>
          <w:szCs w:val="18"/>
        </w:rPr>
        <w:t>履行期限、地点和方式</w:t>
      </w:r>
      <w:r>
        <w:rPr>
          <w:rFonts w:ascii="ˎ̥" w:hAnsi="ˎ̥"/>
          <w:color w:val="000000"/>
          <w:sz w:val="18"/>
          <w:szCs w:val="18"/>
        </w:rPr>
        <w:t>”</w:t>
      </w:r>
      <w:r>
        <w:rPr>
          <w:rFonts w:ascii="ˎ̥" w:hAnsi="ˎ̥"/>
          <w:color w:val="000000"/>
          <w:sz w:val="18"/>
          <w:szCs w:val="18"/>
        </w:rPr>
        <w:t>等。本案中，票务公司主张在合同约定的一年期限内，总共销售的纸质门票金额共计</w:t>
      </w:r>
      <w:r>
        <w:rPr>
          <w:rFonts w:ascii="ˎ̥" w:hAnsi="ˎ̥"/>
          <w:color w:val="000000"/>
          <w:sz w:val="18"/>
          <w:szCs w:val="18"/>
        </w:rPr>
        <w:t>6600</w:t>
      </w:r>
      <w:r>
        <w:rPr>
          <w:rFonts w:ascii="ˎ̥" w:hAnsi="ˎ̥"/>
          <w:color w:val="000000"/>
          <w:sz w:val="18"/>
          <w:szCs w:val="18"/>
        </w:rPr>
        <w:t>元，要求刘某返还</w:t>
      </w:r>
      <w:r>
        <w:rPr>
          <w:rFonts w:ascii="ˎ̥" w:hAnsi="ˎ̥"/>
          <w:color w:val="000000"/>
          <w:sz w:val="18"/>
          <w:szCs w:val="18"/>
        </w:rPr>
        <w:t>“</w:t>
      </w:r>
      <w:r>
        <w:rPr>
          <w:rFonts w:ascii="ˎ̥" w:hAnsi="ˎ̥"/>
          <w:color w:val="000000"/>
          <w:sz w:val="18"/>
          <w:szCs w:val="18"/>
        </w:rPr>
        <w:t>预付款</w:t>
      </w:r>
      <w:r>
        <w:rPr>
          <w:rFonts w:ascii="ˎ̥" w:hAnsi="ˎ̥"/>
          <w:color w:val="000000"/>
          <w:sz w:val="18"/>
          <w:szCs w:val="18"/>
        </w:rPr>
        <w:t>”</w:t>
      </w:r>
      <w:r>
        <w:rPr>
          <w:rFonts w:ascii="ˎ̥" w:hAnsi="ˎ̥"/>
          <w:color w:val="000000"/>
          <w:sz w:val="18"/>
          <w:szCs w:val="18"/>
        </w:rPr>
        <w:t>中多出的部分</w:t>
      </w:r>
      <w:r>
        <w:rPr>
          <w:rFonts w:ascii="ˎ̥" w:hAnsi="ˎ̥"/>
          <w:color w:val="000000"/>
          <w:sz w:val="18"/>
          <w:szCs w:val="18"/>
        </w:rPr>
        <w:t>9.34</w:t>
      </w:r>
      <w:r>
        <w:rPr>
          <w:rFonts w:ascii="ˎ̥" w:hAnsi="ˎ̥"/>
          <w:color w:val="000000"/>
          <w:sz w:val="18"/>
          <w:szCs w:val="18"/>
        </w:rPr>
        <w:t>万元。刘某答辩称，双方合作期间届满后，仍有消费者持从票务公司处购买的旅游券进行消费；此外，由于票务公司擅自变更销售模式，除纸质门票外，存在消费者持手机二维码或验证码游览的情形，门票金额已超出</w:t>
      </w:r>
      <w:r>
        <w:rPr>
          <w:rFonts w:ascii="ˎ̥" w:hAnsi="ˎ̥"/>
          <w:color w:val="000000"/>
          <w:sz w:val="18"/>
          <w:szCs w:val="18"/>
        </w:rPr>
        <w:t>6600</w:t>
      </w:r>
      <w:r>
        <w:rPr>
          <w:rFonts w:ascii="ˎ̥" w:hAnsi="ˎ̥"/>
          <w:color w:val="000000"/>
          <w:sz w:val="18"/>
          <w:szCs w:val="18"/>
        </w:rPr>
        <w:t>元。</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此案涉及票务销售代理合同中的结算期限和结算方式两个问题。旅游文化类门票与传统意义上的门票最大的区别在于，其往往设定一个有效期间，便于消费者选择游览时间。现实中，票务公司在合作期间内销售出门票后，消费者可能在超出票务销售代理合同约定的合作期间，但在门票有效期内使用门票。这部分门票销售金额能否纳入结算范围，有的合同没有明确约定，部分实际经营者可能因此拒绝接受这部分门票，或者可能在接受使用后遭受无法结算的损失。因此，该类合同应该明确区分双方合作期间、票务有效期间以及双方结算时间，双方当事人亦应在此基础上举证证明自己的主张。此外，如果票务公司的出票方</w:t>
      </w:r>
      <w:r>
        <w:rPr>
          <w:rFonts w:ascii="ˎ̥" w:hAnsi="ˎ̥"/>
          <w:color w:val="000000"/>
          <w:sz w:val="18"/>
          <w:szCs w:val="18"/>
        </w:rPr>
        <w:lastRenderedPageBreak/>
        <w:t>式发生变化而导致结算方式变化的，应尽快签订补充协议，并且注意保存相关证据，以免事后发生纠纷时因举证不能而承担不利后果。本案中，由于双方当事人没有注意到上述问题，合同中没有明确约定。</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赔偿责任保险费用约定不清</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某旅游公司与票务公司签订票务销售代理合同，约定票务公司为其在北京地区的独家销售代理。合同签订后，票务公司支付了</w:t>
      </w:r>
      <w:r>
        <w:rPr>
          <w:rFonts w:ascii="ˎ̥" w:hAnsi="ˎ̥"/>
          <w:color w:val="000000"/>
          <w:sz w:val="18"/>
          <w:szCs w:val="18"/>
        </w:rPr>
        <w:t>3</w:t>
      </w:r>
      <w:r>
        <w:rPr>
          <w:rFonts w:ascii="ˎ̥" w:hAnsi="ˎ̥"/>
          <w:color w:val="000000"/>
          <w:sz w:val="18"/>
          <w:szCs w:val="18"/>
        </w:rPr>
        <w:t>万元给旅游公司。合作期间届满后，票务公司将旅游公司告上法庭，主张其仅实际销售了</w:t>
      </w:r>
      <w:r>
        <w:rPr>
          <w:rFonts w:ascii="ˎ̥" w:hAnsi="ˎ̥"/>
          <w:color w:val="000000"/>
          <w:sz w:val="18"/>
          <w:szCs w:val="18"/>
        </w:rPr>
        <w:t>5000</w:t>
      </w:r>
      <w:r>
        <w:rPr>
          <w:rFonts w:ascii="ˎ̥" w:hAnsi="ˎ̥"/>
          <w:color w:val="000000"/>
          <w:sz w:val="18"/>
          <w:szCs w:val="18"/>
        </w:rPr>
        <w:t>元门票，旅游公司应返还</w:t>
      </w:r>
      <w:r>
        <w:rPr>
          <w:rFonts w:ascii="ˎ̥" w:hAnsi="ˎ̥"/>
          <w:color w:val="000000"/>
          <w:sz w:val="18"/>
          <w:szCs w:val="18"/>
        </w:rPr>
        <w:t>25000</w:t>
      </w:r>
      <w:r>
        <w:rPr>
          <w:rFonts w:ascii="ˎ̥" w:hAnsi="ˎ̥"/>
          <w:color w:val="000000"/>
          <w:sz w:val="18"/>
          <w:szCs w:val="18"/>
        </w:rPr>
        <w:t>元</w:t>
      </w:r>
      <w:r>
        <w:rPr>
          <w:rFonts w:ascii="ˎ̥" w:hAnsi="ˎ̥"/>
          <w:color w:val="000000"/>
          <w:sz w:val="18"/>
          <w:szCs w:val="18"/>
        </w:rPr>
        <w:t>“</w:t>
      </w:r>
      <w:r>
        <w:rPr>
          <w:rFonts w:ascii="ˎ̥" w:hAnsi="ˎ̥"/>
          <w:color w:val="000000"/>
          <w:sz w:val="18"/>
          <w:szCs w:val="18"/>
        </w:rPr>
        <w:t>预付款</w:t>
      </w:r>
      <w:r>
        <w:rPr>
          <w:rFonts w:ascii="ˎ̥" w:hAnsi="ˎ̥"/>
          <w:color w:val="000000"/>
          <w:sz w:val="18"/>
          <w:szCs w:val="18"/>
        </w:rPr>
        <w:t>”</w:t>
      </w:r>
      <w:r>
        <w:rPr>
          <w:rFonts w:ascii="ˎ̥" w:hAnsi="ˎ̥"/>
          <w:color w:val="000000"/>
          <w:sz w:val="18"/>
          <w:szCs w:val="18"/>
        </w:rPr>
        <w:t>。</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法官说法</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独家代理合同系指合同中明确在某一地区某一时期就某一旅游项目或文化项目，仅由该合同项下的票务公司具有代销权的合同。该合同的签订，意味着实体经营者在某一时期及地区不能再与其他票务公司合作。本案中，旅游公司答辩称，作为旅游项目经营者，其前期投入了场地建设、</w:t>
      </w:r>
      <w:r>
        <w:rPr>
          <w:rFonts w:ascii="ˎ̥" w:hAnsi="ˎ̥"/>
          <w:color w:val="000000"/>
          <w:sz w:val="18"/>
          <w:szCs w:val="18"/>
        </w:rPr>
        <w:t>CS</w:t>
      </w:r>
      <w:r>
        <w:rPr>
          <w:rFonts w:ascii="ˎ̥" w:hAnsi="ˎ̥"/>
          <w:color w:val="000000"/>
          <w:sz w:val="18"/>
          <w:szCs w:val="18"/>
        </w:rPr>
        <w:t>装备购置等近</w:t>
      </w:r>
      <w:r>
        <w:rPr>
          <w:rFonts w:ascii="ˎ̥" w:hAnsi="ˎ̥"/>
          <w:color w:val="000000"/>
          <w:sz w:val="18"/>
          <w:szCs w:val="18"/>
        </w:rPr>
        <w:t>80</w:t>
      </w:r>
      <w:r>
        <w:rPr>
          <w:rFonts w:ascii="ˎ̥" w:hAnsi="ˎ̥"/>
          <w:color w:val="000000"/>
          <w:sz w:val="18"/>
          <w:szCs w:val="18"/>
        </w:rPr>
        <w:t>万元的投入，但在近两年的合作期间，票务公司仅销售不足</w:t>
      </w:r>
      <w:r>
        <w:rPr>
          <w:rFonts w:ascii="ˎ̥" w:hAnsi="ˎ̥"/>
          <w:color w:val="000000"/>
          <w:sz w:val="18"/>
          <w:szCs w:val="18"/>
        </w:rPr>
        <w:t>1</w:t>
      </w:r>
      <w:r>
        <w:rPr>
          <w:rFonts w:ascii="ˎ̥" w:hAnsi="ˎ̥"/>
          <w:color w:val="000000"/>
          <w:sz w:val="18"/>
          <w:szCs w:val="18"/>
        </w:rPr>
        <w:t>万元的门票，主要原因在于票务公司销售的门票价格过高，从而导致整个旅游项目无人问津。此外，因有游客在景区摔伤，旅游公司赔付了近</w:t>
      </w:r>
      <w:r>
        <w:rPr>
          <w:rFonts w:ascii="ˎ̥" w:hAnsi="ˎ̥"/>
          <w:color w:val="000000"/>
          <w:sz w:val="18"/>
          <w:szCs w:val="18"/>
        </w:rPr>
        <w:t>10</w:t>
      </w:r>
      <w:r>
        <w:rPr>
          <w:rFonts w:ascii="ˎ̥" w:hAnsi="ˎ̥"/>
          <w:color w:val="000000"/>
          <w:sz w:val="18"/>
          <w:szCs w:val="18"/>
        </w:rPr>
        <w:t>万余元医疗费。从公平原则出发，票务公司不应该要回剩余款项。</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法院在案件审理中发现，旅游公司在与票务公司签订合同时，并未对票务实际销售价格进行约定，导致票务公司一味追求高价售票，旅游公司无法实施监管，同时受独家代理合同限制，无法与其他票务公司合作，导致自身利益受损。此外，由于合同双方对赔偿责任和保险费用负担也没有明确约定，导致意外发生后，互相推卸责任。</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法官提醒</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北京一中院法官认为，对于消费者来说，在各大团购网站上购买文化旅游项目门票时，应注意门票是否包含保险费用</w:t>
      </w:r>
      <w:r>
        <w:rPr>
          <w:rFonts w:ascii="ˎ̥" w:hAnsi="ˎ̥"/>
          <w:color w:val="000000"/>
          <w:sz w:val="18"/>
          <w:szCs w:val="18"/>
        </w:rPr>
        <w:t>,</w:t>
      </w:r>
      <w:r>
        <w:rPr>
          <w:rFonts w:ascii="ˎ̥" w:hAnsi="ˎ̥"/>
          <w:color w:val="000000"/>
          <w:sz w:val="18"/>
          <w:szCs w:val="18"/>
        </w:rPr>
        <w:t>并在门票有效期内尽早使用。而旅游项目开发者在与专业的票务销售代理公司合作时，应特别注意明确以下五个方面的问题：</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lastRenderedPageBreak/>
        <w:t>    </w:t>
      </w:r>
      <w:r>
        <w:rPr>
          <w:rFonts w:ascii="ˎ̥" w:hAnsi="ˎ̥"/>
          <w:color w:val="000000"/>
          <w:sz w:val="18"/>
          <w:szCs w:val="18"/>
        </w:rPr>
        <w:t>一、明确结算期间。合同中应明确约定对已经超出合同约定的合作期间但仍处于有效期内的门票，能否使用以及如何结算。例如，票务代理合作期间为</w:t>
      </w:r>
      <w:r>
        <w:rPr>
          <w:rFonts w:ascii="ˎ̥" w:hAnsi="ˎ̥"/>
          <w:color w:val="000000"/>
          <w:sz w:val="18"/>
          <w:szCs w:val="18"/>
        </w:rPr>
        <w:t>2011</w:t>
      </w:r>
      <w:r>
        <w:rPr>
          <w:rFonts w:ascii="ˎ̥" w:hAnsi="ˎ̥"/>
          <w:color w:val="000000"/>
          <w:sz w:val="18"/>
          <w:szCs w:val="18"/>
        </w:rPr>
        <w:t>年</w:t>
      </w:r>
      <w:r>
        <w:rPr>
          <w:rFonts w:ascii="ˎ̥" w:hAnsi="ˎ̥"/>
          <w:color w:val="000000"/>
          <w:sz w:val="18"/>
          <w:szCs w:val="18"/>
        </w:rPr>
        <w:t>1</w:t>
      </w:r>
      <w:r>
        <w:rPr>
          <w:rFonts w:ascii="ˎ̥" w:hAnsi="ˎ̥"/>
          <w:color w:val="000000"/>
          <w:sz w:val="18"/>
          <w:szCs w:val="18"/>
        </w:rPr>
        <w:t>月</w:t>
      </w:r>
      <w:r>
        <w:rPr>
          <w:rFonts w:ascii="ˎ̥" w:hAnsi="ˎ̥"/>
          <w:color w:val="000000"/>
          <w:sz w:val="18"/>
          <w:szCs w:val="18"/>
        </w:rPr>
        <w:t>1</w:t>
      </w:r>
      <w:r>
        <w:rPr>
          <w:rFonts w:ascii="ˎ̥" w:hAnsi="ˎ̥"/>
          <w:color w:val="000000"/>
          <w:sz w:val="18"/>
          <w:szCs w:val="18"/>
        </w:rPr>
        <w:t>日至</w:t>
      </w:r>
      <w:r>
        <w:rPr>
          <w:rFonts w:ascii="ˎ̥" w:hAnsi="ˎ̥"/>
          <w:color w:val="000000"/>
          <w:sz w:val="18"/>
          <w:szCs w:val="18"/>
        </w:rPr>
        <w:t>2012</w:t>
      </w:r>
      <w:r>
        <w:rPr>
          <w:rFonts w:ascii="ˎ̥" w:hAnsi="ˎ̥"/>
          <w:color w:val="000000"/>
          <w:sz w:val="18"/>
          <w:szCs w:val="18"/>
        </w:rPr>
        <w:t>年</w:t>
      </w:r>
      <w:r>
        <w:rPr>
          <w:rFonts w:ascii="ˎ̥" w:hAnsi="ˎ̥"/>
          <w:color w:val="000000"/>
          <w:sz w:val="18"/>
          <w:szCs w:val="18"/>
        </w:rPr>
        <w:t>1</w:t>
      </w:r>
      <w:r>
        <w:rPr>
          <w:rFonts w:ascii="ˎ̥" w:hAnsi="ˎ̥"/>
          <w:color w:val="000000"/>
          <w:sz w:val="18"/>
          <w:szCs w:val="18"/>
        </w:rPr>
        <w:t>月</w:t>
      </w:r>
      <w:r>
        <w:rPr>
          <w:rFonts w:ascii="ˎ̥" w:hAnsi="ˎ̥"/>
          <w:color w:val="000000"/>
          <w:sz w:val="18"/>
          <w:szCs w:val="18"/>
        </w:rPr>
        <w:t>1</w:t>
      </w:r>
      <w:r>
        <w:rPr>
          <w:rFonts w:ascii="ˎ̥" w:hAnsi="ˎ̥"/>
          <w:color w:val="000000"/>
          <w:sz w:val="18"/>
          <w:szCs w:val="18"/>
        </w:rPr>
        <w:t>日，门票有效期限是三个月，那么，在</w:t>
      </w:r>
      <w:r>
        <w:rPr>
          <w:rFonts w:ascii="ˎ̥" w:hAnsi="ˎ̥"/>
          <w:color w:val="000000"/>
          <w:sz w:val="18"/>
          <w:szCs w:val="18"/>
        </w:rPr>
        <w:t>2012</w:t>
      </w:r>
      <w:r>
        <w:rPr>
          <w:rFonts w:ascii="ˎ̥" w:hAnsi="ˎ̥"/>
          <w:color w:val="000000"/>
          <w:sz w:val="18"/>
          <w:szCs w:val="18"/>
        </w:rPr>
        <w:t>年</w:t>
      </w:r>
      <w:r>
        <w:rPr>
          <w:rFonts w:ascii="ˎ̥" w:hAnsi="ˎ̥"/>
          <w:color w:val="000000"/>
          <w:sz w:val="18"/>
          <w:szCs w:val="18"/>
        </w:rPr>
        <w:t>3</w:t>
      </w:r>
      <w:r>
        <w:rPr>
          <w:rFonts w:ascii="ˎ̥" w:hAnsi="ˎ̥"/>
          <w:color w:val="000000"/>
          <w:sz w:val="18"/>
          <w:szCs w:val="18"/>
        </w:rPr>
        <w:t>月</w:t>
      </w:r>
      <w:r>
        <w:rPr>
          <w:rFonts w:ascii="ˎ̥" w:hAnsi="ˎ̥"/>
          <w:color w:val="000000"/>
          <w:sz w:val="18"/>
          <w:szCs w:val="18"/>
        </w:rPr>
        <w:t>5</w:t>
      </w:r>
      <w:r>
        <w:rPr>
          <w:rFonts w:ascii="ˎ̥" w:hAnsi="ˎ̥"/>
          <w:color w:val="000000"/>
          <w:sz w:val="18"/>
          <w:szCs w:val="18"/>
        </w:rPr>
        <w:t>日，消费者持有票务公司在合作期间售出且仍处于有效期的门票进行消费，应如何处理？这既涉及到合同双方的经营利益，也涉及消费者合法权益的保障。</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二、明确结算价格。实践中，票务公司赚取的利润来源于销售门票价格与实体经营者结算票务价格的差价。因此，一些票务公司为了赚取更多差价，一味提高门票实际销售价格，导致旅游项目无人问津，经营者损失惨重。因此，经营者不能有</w:t>
      </w:r>
      <w:r>
        <w:rPr>
          <w:rFonts w:ascii="ˎ̥" w:hAnsi="ˎ̥"/>
          <w:color w:val="000000"/>
          <w:sz w:val="18"/>
          <w:szCs w:val="18"/>
        </w:rPr>
        <w:t>“</w:t>
      </w:r>
      <w:r>
        <w:rPr>
          <w:rFonts w:ascii="ˎ̥" w:hAnsi="ˎ̥"/>
          <w:color w:val="000000"/>
          <w:sz w:val="18"/>
          <w:szCs w:val="18"/>
        </w:rPr>
        <w:t>我只埋头经营，你负责卖票</w:t>
      </w:r>
      <w:r>
        <w:rPr>
          <w:rFonts w:ascii="ˎ̥" w:hAnsi="ˎ̥"/>
          <w:color w:val="000000"/>
          <w:sz w:val="18"/>
          <w:szCs w:val="18"/>
        </w:rPr>
        <w:t>”</w:t>
      </w:r>
      <w:r>
        <w:rPr>
          <w:rFonts w:ascii="ˎ̥" w:hAnsi="ˎ̥"/>
          <w:color w:val="000000"/>
          <w:sz w:val="18"/>
          <w:szCs w:val="18"/>
        </w:rPr>
        <w:t>的心态，不宜完全放弃对票面销售价格的监管。</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三、审慎签署独家代理协议。倘若经营者要与票务公司签署独家代理协议，应严格考察该票务公司的销售能力及信用，以免落入门票销不动，又不能在合作期内寻求其他销售途径的尴尬局面。</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四、明确结算方式。一些代理合同约定</w:t>
      </w:r>
      <w:r>
        <w:rPr>
          <w:rFonts w:ascii="ˎ̥" w:hAnsi="ˎ̥"/>
          <w:color w:val="000000"/>
          <w:sz w:val="18"/>
          <w:szCs w:val="18"/>
        </w:rPr>
        <w:t>“</w:t>
      </w:r>
      <w:r>
        <w:rPr>
          <w:rFonts w:ascii="ˎ̥" w:hAnsi="ˎ̥"/>
          <w:color w:val="000000"/>
          <w:sz w:val="18"/>
          <w:szCs w:val="18"/>
        </w:rPr>
        <w:t>按收回的副券计算</w:t>
      </w:r>
      <w:r>
        <w:rPr>
          <w:rFonts w:ascii="ˎ̥" w:hAnsi="ˎ̥"/>
          <w:color w:val="000000"/>
          <w:sz w:val="18"/>
          <w:szCs w:val="18"/>
        </w:rPr>
        <w:t>”</w:t>
      </w:r>
      <w:r>
        <w:rPr>
          <w:rFonts w:ascii="ˎ̥" w:hAnsi="ˎ̥"/>
          <w:color w:val="000000"/>
          <w:sz w:val="18"/>
          <w:szCs w:val="18"/>
        </w:rPr>
        <w:t>结算金额，但随着电子时代的到来，不仅存在纸质票，更出现了手机短信编码、手机二维编码等其他样式的票样，传统结算方式无法适用于后者。因此，合同中应尽可能明确结算方式，防止结算时互相扯皮。</w:t>
      </w:r>
    </w:p>
    <w:p w:rsidR="00167911" w:rsidRDefault="00167911" w:rsidP="00167911">
      <w:pPr>
        <w:pStyle w:val="a3"/>
        <w:spacing w:line="432" w:lineRule="auto"/>
        <w:rPr>
          <w:rFonts w:ascii="ˎ̥" w:hAnsi="ˎ̥"/>
          <w:color w:val="000000"/>
          <w:sz w:val="18"/>
          <w:szCs w:val="18"/>
        </w:rPr>
      </w:pPr>
      <w:r>
        <w:rPr>
          <w:rFonts w:ascii="ˎ̥" w:hAnsi="ˎ̥"/>
          <w:color w:val="000000"/>
          <w:sz w:val="18"/>
          <w:szCs w:val="18"/>
        </w:rPr>
        <w:t>    </w:t>
      </w:r>
      <w:r>
        <w:rPr>
          <w:rFonts w:ascii="ˎ̥" w:hAnsi="ˎ̥"/>
          <w:color w:val="000000"/>
          <w:sz w:val="18"/>
          <w:szCs w:val="18"/>
        </w:rPr>
        <w:t>五、明确赔偿责任和保险费用的负担。真人</w:t>
      </w:r>
      <w:r>
        <w:rPr>
          <w:rFonts w:ascii="ˎ̥" w:hAnsi="ˎ̥"/>
          <w:color w:val="000000"/>
          <w:sz w:val="18"/>
          <w:szCs w:val="18"/>
        </w:rPr>
        <w:t>CS</w:t>
      </w:r>
      <w:r>
        <w:rPr>
          <w:rFonts w:ascii="ˎ̥" w:hAnsi="ˎ̥"/>
          <w:color w:val="000000"/>
          <w:sz w:val="18"/>
          <w:szCs w:val="18"/>
        </w:rPr>
        <w:t>等旅游项目本身存在一定的人身危险性，因此，合同中应明确一旦发生意外，实体经营者和票务公司的赔偿责任承担，或者约定保险费用的负担。</w:t>
      </w:r>
    </w:p>
    <w:p w:rsidR="00167911" w:rsidRPr="00167911" w:rsidRDefault="00167911"/>
    <w:sectPr w:rsidR="00167911" w:rsidRPr="001679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781" w:rsidRDefault="006D4781" w:rsidP="00810A9E">
      <w:r>
        <w:separator/>
      </w:r>
    </w:p>
  </w:endnote>
  <w:endnote w:type="continuationSeparator" w:id="0">
    <w:p w:rsidR="006D4781" w:rsidRDefault="006D4781" w:rsidP="00810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781" w:rsidRDefault="006D4781" w:rsidP="00810A9E">
      <w:r>
        <w:separator/>
      </w:r>
    </w:p>
  </w:footnote>
  <w:footnote w:type="continuationSeparator" w:id="0">
    <w:p w:rsidR="006D4781" w:rsidRDefault="006D4781" w:rsidP="00810A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7911"/>
    <w:rsid w:val="00167911"/>
    <w:rsid w:val="006D4781"/>
    <w:rsid w:val="00810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6F01F6A-F147-4470-9D14-85D1E39F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167911"/>
    <w:pPr>
      <w:widowControl/>
      <w:spacing w:before="100" w:beforeAutospacing="1" w:after="100" w:afterAutospacing="1"/>
      <w:ind w:firstLine="270"/>
      <w:jc w:val="left"/>
    </w:pPr>
    <w:rPr>
      <w:rFonts w:ascii="宋体" w:hAnsi="宋体" w:cs="宋体"/>
      <w:kern w:val="0"/>
      <w:sz w:val="24"/>
    </w:rPr>
  </w:style>
  <w:style w:type="paragraph" w:styleId="a4">
    <w:name w:val="header"/>
    <w:basedOn w:val="a"/>
    <w:link w:val="a5"/>
    <w:rsid w:val="00810A9E"/>
    <w:pPr>
      <w:tabs>
        <w:tab w:val="center" w:pos="4153"/>
        <w:tab w:val="right" w:pos="8306"/>
      </w:tabs>
      <w:snapToGrid w:val="0"/>
      <w:jc w:val="center"/>
    </w:pPr>
    <w:rPr>
      <w:sz w:val="18"/>
      <w:szCs w:val="18"/>
    </w:rPr>
  </w:style>
  <w:style w:type="character" w:customStyle="1" w:styleId="a5">
    <w:name w:val="页眉 字符"/>
    <w:basedOn w:val="a0"/>
    <w:link w:val="a4"/>
    <w:rsid w:val="00810A9E"/>
    <w:rPr>
      <w:kern w:val="2"/>
      <w:sz w:val="18"/>
      <w:szCs w:val="18"/>
    </w:rPr>
  </w:style>
  <w:style w:type="paragraph" w:styleId="a6">
    <w:name w:val="footer"/>
    <w:basedOn w:val="a"/>
    <w:link w:val="a7"/>
    <w:rsid w:val="00810A9E"/>
    <w:pPr>
      <w:tabs>
        <w:tab w:val="center" w:pos="4153"/>
        <w:tab w:val="right" w:pos="8306"/>
      </w:tabs>
      <w:snapToGrid w:val="0"/>
      <w:jc w:val="left"/>
    </w:pPr>
    <w:rPr>
      <w:sz w:val="18"/>
      <w:szCs w:val="18"/>
    </w:rPr>
  </w:style>
  <w:style w:type="character" w:customStyle="1" w:styleId="a7">
    <w:name w:val="页脚 字符"/>
    <w:basedOn w:val="a0"/>
    <w:link w:val="a6"/>
    <w:rsid w:val="00810A9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4161">
      <w:bodyDiv w:val="1"/>
      <w:marLeft w:val="0"/>
      <w:marRight w:val="0"/>
      <w:marTop w:val="0"/>
      <w:marBottom w:val="0"/>
      <w:divBdr>
        <w:top w:val="none" w:sz="0" w:space="0" w:color="auto"/>
        <w:left w:val="none" w:sz="0" w:space="0" w:color="auto"/>
        <w:bottom w:val="none" w:sz="0" w:space="0" w:color="auto"/>
        <w:right w:val="none" w:sz="0" w:space="0" w:color="auto"/>
      </w:divBdr>
      <w:divsChild>
        <w:div w:id="696270134">
          <w:marLeft w:val="0"/>
          <w:marRight w:val="0"/>
          <w:marTop w:val="0"/>
          <w:marBottom w:val="0"/>
          <w:divBdr>
            <w:top w:val="none" w:sz="0" w:space="0" w:color="auto"/>
            <w:left w:val="none" w:sz="0" w:space="0" w:color="auto"/>
            <w:bottom w:val="none" w:sz="0" w:space="0" w:color="auto"/>
            <w:right w:val="none" w:sz="0" w:space="0" w:color="auto"/>
          </w:divBdr>
          <w:divsChild>
            <w:div w:id="9120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336</Words>
  <Characters>1917</Characters>
  <Application>Microsoft Office Word</Application>
  <DocSecurity>4</DocSecurity>
  <Lines>15</Lines>
  <Paragraphs>4</Paragraphs>
  <ScaleCrop>false</ScaleCrop>
  <Company>Microsoft</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2026-04-05T07:30:00Z</dcterms:created>
  <dcterms:modified xsi:type="dcterms:W3CDTF">2026-04-05T07:30:00Z</dcterms:modified>
</cp:coreProperties>
</file>