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7252D75" w14:textId="77777777" w:rsidR="00AD711B" w:rsidRDefault="00AD711B">
      <w:pPr>
        <w:autoSpaceDE w:val="0"/>
        <w:autoSpaceDN w:val="0"/>
        <w:snapToGrid w:val="0"/>
        <w:spacing w:line="380" w:lineRule="exact"/>
        <w:ind w:right="-1200"/>
        <w:jc w:val="center"/>
        <w:rPr>
          <w:rFonts w:ascii="黑体" w:eastAsia="黑体" w:hAnsi="Times New Roman" w:hint="eastAsia"/>
          <w:sz w:val="36"/>
        </w:rPr>
      </w:pPr>
      <w:r>
        <w:rPr>
          <w:rFonts w:ascii="黑体" w:eastAsia="黑体" w:hAnsi="Times New Roman" w:hint="eastAsia"/>
          <w:sz w:val="36"/>
        </w:rPr>
        <w:t>车</w:t>
      </w:r>
      <w:r>
        <w:rPr>
          <w:rFonts w:ascii="黑体" w:eastAsia="黑体" w:hAnsi="Times New Roman" w:hint="eastAsia"/>
          <w:sz w:val="36"/>
        </w:rPr>
        <w:t xml:space="preserve"> </w:t>
      </w:r>
      <w:r>
        <w:rPr>
          <w:rFonts w:ascii="黑体" w:eastAsia="黑体" w:hAnsi="Times New Roman"/>
          <w:sz w:val="36"/>
        </w:rPr>
        <w:t xml:space="preserve"> </w:t>
      </w:r>
      <w:r>
        <w:rPr>
          <w:rFonts w:ascii="黑体" w:eastAsia="黑体" w:hAnsi="Times New Roman" w:hint="eastAsia"/>
          <w:sz w:val="36"/>
        </w:rPr>
        <w:t xml:space="preserve"> </w:t>
      </w:r>
      <w:r>
        <w:rPr>
          <w:rFonts w:ascii="黑体" w:eastAsia="黑体" w:hAnsi="Times New Roman" w:hint="eastAsia"/>
          <w:sz w:val="36"/>
        </w:rPr>
        <w:t>辆</w:t>
      </w:r>
      <w:r>
        <w:rPr>
          <w:rFonts w:ascii="黑体" w:eastAsia="黑体" w:hAnsi="Times New Roman" w:hint="eastAsia"/>
          <w:sz w:val="36"/>
        </w:rPr>
        <w:t xml:space="preserve">  </w:t>
      </w:r>
      <w:r>
        <w:rPr>
          <w:rFonts w:ascii="黑体" w:eastAsia="黑体" w:hAnsi="Times New Roman"/>
          <w:sz w:val="36"/>
        </w:rPr>
        <w:t xml:space="preserve"> </w:t>
      </w:r>
      <w:r>
        <w:rPr>
          <w:rFonts w:ascii="黑体" w:eastAsia="黑体" w:hAnsi="Times New Roman" w:hint="eastAsia"/>
          <w:sz w:val="36"/>
        </w:rPr>
        <w:t>买</w:t>
      </w:r>
      <w:r>
        <w:rPr>
          <w:rFonts w:ascii="黑体" w:eastAsia="黑体" w:hAnsi="Times New Roman"/>
          <w:sz w:val="36"/>
        </w:rPr>
        <w:t xml:space="preserve"> </w:t>
      </w:r>
      <w:r>
        <w:rPr>
          <w:rFonts w:ascii="黑体" w:eastAsia="黑体" w:hAnsi="Times New Roman" w:hint="eastAsia"/>
          <w:sz w:val="36"/>
        </w:rPr>
        <w:t xml:space="preserve">  </w:t>
      </w:r>
      <w:r>
        <w:rPr>
          <w:rFonts w:ascii="黑体" w:eastAsia="黑体" w:hAnsi="Times New Roman" w:hint="eastAsia"/>
          <w:sz w:val="36"/>
        </w:rPr>
        <w:t>卖</w:t>
      </w:r>
      <w:r>
        <w:rPr>
          <w:rFonts w:ascii="黑体" w:eastAsia="黑体" w:hAnsi="Times New Roman" w:hint="eastAsia"/>
          <w:sz w:val="36"/>
        </w:rPr>
        <w:t xml:space="preserve">  </w:t>
      </w:r>
      <w:r>
        <w:rPr>
          <w:rFonts w:ascii="黑体" w:eastAsia="黑体" w:hAnsi="Times New Roman"/>
          <w:sz w:val="36"/>
        </w:rPr>
        <w:t xml:space="preserve"> </w:t>
      </w:r>
      <w:r>
        <w:rPr>
          <w:rFonts w:ascii="黑体" w:eastAsia="黑体" w:hAnsi="Times New Roman" w:hint="eastAsia"/>
          <w:sz w:val="36"/>
        </w:rPr>
        <w:t>合</w:t>
      </w:r>
      <w:r>
        <w:rPr>
          <w:rFonts w:ascii="黑体" w:eastAsia="黑体" w:hAnsi="Times New Roman"/>
          <w:sz w:val="36"/>
        </w:rPr>
        <w:t xml:space="preserve"> </w:t>
      </w:r>
      <w:r>
        <w:rPr>
          <w:rFonts w:ascii="黑体" w:eastAsia="黑体" w:hAnsi="Times New Roman" w:hint="eastAsia"/>
          <w:sz w:val="36"/>
        </w:rPr>
        <w:t xml:space="preserve">  </w:t>
      </w:r>
      <w:r>
        <w:rPr>
          <w:rFonts w:ascii="黑体" w:eastAsia="黑体" w:hAnsi="Times New Roman" w:hint="eastAsia"/>
          <w:sz w:val="36"/>
        </w:rPr>
        <w:t>同</w:t>
      </w:r>
    </w:p>
    <w:p w14:paraId="584DB6FF" w14:textId="77777777" w:rsidR="00AD711B" w:rsidRDefault="00AD711B">
      <w:pPr>
        <w:autoSpaceDE w:val="0"/>
        <w:autoSpaceDN w:val="0"/>
        <w:snapToGrid w:val="0"/>
        <w:spacing w:line="380" w:lineRule="exact"/>
        <w:ind w:right="-1200"/>
        <w:jc w:val="center"/>
        <w:rPr>
          <w:rFonts w:ascii="黑体" w:eastAsia="黑体" w:hAnsi="Times New Roman" w:hint="eastAsia"/>
          <w:sz w:val="36"/>
        </w:rPr>
      </w:pPr>
    </w:p>
    <w:p w14:paraId="38723824" w14:textId="77777777" w:rsidR="00AD711B" w:rsidRDefault="00AD711B">
      <w:pPr>
        <w:tabs>
          <w:tab w:val="left" w:pos="916"/>
          <w:tab w:val="left" w:pos="1832"/>
          <w:tab w:val="left" w:pos="2748"/>
          <w:tab w:val="left" w:pos="3664"/>
          <w:tab w:val="left" w:pos="4580"/>
          <w:tab w:val="left" w:pos="5496"/>
          <w:tab w:val="left" w:pos="6412"/>
          <w:tab w:val="left" w:pos="7328"/>
          <w:tab w:val="left" w:pos="8244"/>
          <w:tab w:val="left" w:pos="9160"/>
        </w:tabs>
        <w:autoSpaceDE w:val="0"/>
        <w:autoSpaceDN w:val="0"/>
        <w:snapToGrid w:val="0"/>
        <w:spacing w:line="380" w:lineRule="exact"/>
        <w:ind w:right="-1200" w:firstLine="240"/>
        <w:jc w:val="left"/>
        <w:rPr>
          <w:rFonts w:ascii="仿宋_GB2312" w:eastAsia="仿宋_GB2312" w:hAnsi="Times New Roman"/>
          <w:sz w:val="24"/>
        </w:rPr>
      </w:pPr>
      <w:r>
        <w:rPr>
          <w:rFonts w:ascii="仿宋_GB2312" w:eastAsia="仿宋_GB2312" w:hAnsi="Times New Roman" w:hint="eastAsia"/>
          <w:sz w:val="24"/>
        </w:rPr>
        <w:t>卖方：</w:t>
      </w:r>
      <w:r>
        <w:rPr>
          <w:rFonts w:ascii="仿宋_GB2312" w:eastAsia="仿宋_GB2312" w:hAnsi="Times New Roman" w:hint="eastAsia"/>
          <w:sz w:val="24"/>
        </w:rPr>
        <w:tab/>
      </w:r>
      <w:r>
        <w:rPr>
          <w:rFonts w:ascii="仿宋_GB2312" w:eastAsia="仿宋_GB2312" w:hAnsi="Times New Roman" w:hint="eastAsia"/>
          <w:sz w:val="24"/>
        </w:rPr>
        <w:tab/>
      </w:r>
      <w:r>
        <w:rPr>
          <w:rFonts w:ascii="仿宋_GB2312" w:eastAsia="仿宋_GB2312" w:hAnsi="Times New Roman" w:hint="eastAsia"/>
          <w:sz w:val="24"/>
        </w:rPr>
        <w:tab/>
      </w:r>
      <w:r>
        <w:rPr>
          <w:rFonts w:ascii="仿宋_GB2312" w:eastAsia="仿宋_GB2312" w:hAnsi="Times New Roman" w:hint="eastAsia"/>
          <w:sz w:val="24"/>
        </w:rPr>
        <w:tab/>
      </w:r>
      <w:r>
        <w:rPr>
          <w:rFonts w:ascii="仿宋_GB2312" w:eastAsia="仿宋_GB2312" w:hAnsi="Times New Roman"/>
          <w:sz w:val="24"/>
        </w:rPr>
        <w:t xml:space="preserve">        </w:t>
      </w:r>
      <w:r>
        <w:rPr>
          <w:rFonts w:ascii="仿宋_GB2312" w:eastAsia="仿宋_GB2312" w:hAnsi="Times New Roman" w:hint="eastAsia"/>
          <w:sz w:val="24"/>
        </w:rPr>
        <w:t>买方：</w:t>
      </w:r>
    </w:p>
    <w:p w14:paraId="10E09F50" w14:textId="77777777" w:rsidR="00AD711B" w:rsidRDefault="00AD711B">
      <w:pPr>
        <w:autoSpaceDE w:val="0"/>
        <w:autoSpaceDN w:val="0"/>
        <w:snapToGrid w:val="0"/>
        <w:spacing w:line="380" w:lineRule="exact"/>
        <w:ind w:left="-514" w:right="-1200" w:firstLine="780"/>
        <w:rPr>
          <w:rFonts w:ascii="仿宋_GB2312" w:eastAsia="仿宋_GB2312" w:hAnsi="Times New Roman"/>
          <w:sz w:val="24"/>
        </w:rPr>
      </w:pPr>
      <w:r>
        <w:rPr>
          <w:rFonts w:ascii="仿宋_GB2312" w:eastAsia="仿宋_GB2312" w:hAnsi="Times New Roman" w:hint="eastAsia"/>
          <w:sz w:val="24"/>
        </w:rPr>
        <w:t>地址：</w:t>
      </w:r>
      <w:r>
        <w:rPr>
          <w:rFonts w:ascii="仿宋_GB2312" w:eastAsia="仿宋_GB2312" w:hAnsi="Times New Roman" w:hint="eastAsia"/>
          <w:sz w:val="24"/>
        </w:rPr>
        <w:tab/>
      </w:r>
      <w:r>
        <w:rPr>
          <w:rFonts w:ascii="仿宋_GB2312" w:eastAsia="仿宋_GB2312" w:hAnsi="Times New Roman" w:hint="eastAsia"/>
          <w:sz w:val="24"/>
        </w:rPr>
        <w:tab/>
      </w:r>
      <w:r>
        <w:rPr>
          <w:rFonts w:ascii="仿宋_GB2312" w:eastAsia="仿宋_GB2312" w:hAnsi="Times New Roman" w:hint="eastAsia"/>
          <w:sz w:val="24"/>
        </w:rPr>
        <w:tab/>
      </w:r>
      <w:r>
        <w:rPr>
          <w:rFonts w:ascii="仿宋_GB2312" w:eastAsia="仿宋_GB2312" w:hAnsi="Times New Roman" w:hint="eastAsia"/>
          <w:sz w:val="24"/>
        </w:rPr>
        <w:tab/>
      </w:r>
      <w:r>
        <w:rPr>
          <w:rFonts w:ascii="仿宋_GB2312" w:eastAsia="仿宋_GB2312" w:hAnsi="Times New Roman" w:hint="eastAsia"/>
          <w:sz w:val="24"/>
        </w:rPr>
        <w:tab/>
      </w:r>
      <w:r>
        <w:rPr>
          <w:rFonts w:ascii="仿宋_GB2312" w:eastAsia="仿宋_GB2312" w:hAnsi="Times New Roman" w:hint="eastAsia"/>
          <w:sz w:val="24"/>
        </w:rPr>
        <w:tab/>
      </w:r>
      <w:r>
        <w:rPr>
          <w:rFonts w:ascii="仿宋_GB2312" w:eastAsia="仿宋_GB2312" w:hAnsi="Times New Roman" w:hint="eastAsia"/>
          <w:sz w:val="24"/>
        </w:rPr>
        <w:tab/>
      </w:r>
      <w:r>
        <w:rPr>
          <w:rFonts w:ascii="仿宋_GB2312" w:eastAsia="仿宋_GB2312" w:hAnsi="Times New Roman" w:hint="eastAsia"/>
          <w:sz w:val="24"/>
        </w:rPr>
        <w:tab/>
      </w:r>
      <w:r>
        <w:rPr>
          <w:rFonts w:ascii="仿宋_GB2312" w:eastAsia="仿宋_GB2312" w:hAnsi="Times New Roman" w:hint="eastAsia"/>
          <w:sz w:val="24"/>
        </w:rPr>
        <w:tab/>
      </w:r>
      <w:r>
        <w:rPr>
          <w:rFonts w:ascii="仿宋_GB2312" w:eastAsia="仿宋_GB2312" w:hAnsi="Times New Roman"/>
          <w:sz w:val="24"/>
        </w:rPr>
        <w:t xml:space="preserve">        </w:t>
      </w:r>
      <w:r>
        <w:rPr>
          <w:rFonts w:ascii="仿宋_GB2312" w:eastAsia="仿宋_GB2312" w:hAnsi="Times New Roman" w:hint="eastAsia"/>
          <w:sz w:val="24"/>
        </w:rPr>
        <w:t>地址：</w:t>
      </w:r>
    </w:p>
    <w:p w14:paraId="144C7890" w14:textId="77777777" w:rsidR="00AD711B" w:rsidRDefault="00AD711B">
      <w:pPr>
        <w:autoSpaceDE w:val="0"/>
        <w:autoSpaceDN w:val="0"/>
        <w:snapToGrid w:val="0"/>
        <w:spacing w:line="380" w:lineRule="exact"/>
        <w:ind w:right="-1200" w:firstLine="240"/>
        <w:rPr>
          <w:rFonts w:ascii="仿宋_GB2312" w:eastAsia="仿宋_GB2312" w:hAnsi="Times New Roman"/>
          <w:sz w:val="24"/>
        </w:rPr>
      </w:pPr>
      <w:r>
        <w:rPr>
          <w:rFonts w:ascii="仿宋_GB2312" w:eastAsia="仿宋_GB2312" w:hAnsi="Times New Roman" w:hint="eastAsia"/>
          <w:sz w:val="24"/>
        </w:rPr>
        <w:t>电话：</w:t>
      </w:r>
      <w:r>
        <w:rPr>
          <w:rFonts w:ascii="仿宋_GB2312" w:eastAsia="仿宋_GB2312" w:hAnsi="Times New Roman" w:hint="eastAsia"/>
          <w:sz w:val="24"/>
        </w:rPr>
        <w:tab/>
      </w:r>
      <w:r>
        <w:rPr>
          <w:rFonts w:ascii="仿宋_GB2312" w:eastAsia="仿宋_GB2312" w:hAnsi="Times New Roman" w:hint="eastAsia"/>
          <w:sz w:val="24"/>
        </w:rPr>
        <w:tab/>
      </w:r>
      <w:r>
        <w:rPr>
          <w:rFonts w:ascii="仿宋_GB2312" w:eastAsia="仿宋_GB2312" w:hAnsi="Times New Roman" w:hint="eastAsia"/>
          <w:sz w:val="24"/>
        </w:rPr>
        <w:tab/>
        <w:t xml:space="preserve">     </w:t>
      </w:r>
      <w:r>
        <w:rPr>
          <w:rFonts w:ascii="仿宋_GB2312" w:eastAsia="仿宋_GB2312" w:hAnsi="Times New Roman"/>
          <w:sz w:val="24"/>
        </w:rPr>
        <w:t xml:space="preserve">                  </w:t>
      </w:r>
      <w:r>
        <w:rPr>
          <w:rFonts w:ascii="仿宋_GB2312" w:eastAsia="仿宋_GB2312" w:hAnsi="Times New Roman" w:hint="eastAsia"/>
          <w:sz w:val="24"/>
        </w:rPr>
        <w:t xml:space="preserve">    </w:t>
      </w:r>
      <w:r>
        <w:rPr>
          <w:rFonts w:ascii="仿宋_GB2312" w:eastAsia="仿宋_GB2312" w:hAnsi="Times New Roman"/>
          <w:sz w:val="24"/>
        </w:rPr>
        <w:t xml:space="preserve">  </w:t>
      </w:r>
      <w:r>
        <w:rPr>
          <w:rFonts w:ascii="仿宋_GB2312" w:eastAsia="仿宋_GB2312" w:hAnsi="Times New Roman" w:hint="eastAsia"/>
          <w:sz w:val="24"/>
        </w:rPr>
        <w:t>电话：</w:t>
      </w:r>
    </w:p>
    <w:p w14:paraId="54B9DE24" w14:textId="77777777" w:rsidR="00AD711B" w:rsidRDefault="00AD711B">
      <w:pPr>
        <w:autoSpaceDE w:val="0"/>
        <w:autoSpaceDN w:val="0"/>
        <w:snapToGrid w:val="0"/>
        <w:spacing w:line="380" w:lineRule="exact"/>
        <w:ind w:right="-1200" w:firstLine="240"/>
        <w:rPr>
          <w:rFonts w:ascii="仿宋_GB2312" w:eastAsia="仿宋_GB2312" w:hAnsi="Times New Roman"/>
          <w:sz w:val="24"/>
        </w:rPr>
      </w:pPr>
      <w:r>
        <w:rPr>
          <w:rFonts w:ascii="仿宋_GB2312" w:eastAsia="仿宋_GB2312" w:hAnsi="Times New Roman" w:hint="eastAsia"/>
          <w:sz w:val="24"/>
        </w:rPr>
        <w:t>根据《中华人民共和国合同法》经双方协商一致签订本合同</w:t>
      </w:r>
    </w:p>
    <w:p w14:paraId="798BDCE6" w14:textId="77777777" w:rsidR="00AD711B" w:rsidRDefault="00AD711B">
      <w:pPr>
        <w:tabs>
          <w:tab w:val="left" w:pos="-180"/>
        </w:tabs>
        <w:autoSpaceDE w:val="0"/>
        <w:autoSpaceDN w:val="0"/>
        <w:snapToGrid w:val="0"/>
        <w:spacing w:line="380" w:lineRule="exact"/>
        <w:ind w:left="-172" w:right="-1200" w:firstLine="480"/>
        <w:rPr>
          <w:rFonts w:ascii="仿宋_GB2312" w:eastAsia="仿宋_GB2312" w:hAnsi="Times New Roman"/>
          <w:sz w:val="24"/>
        </w:rPr>
      </w:pPr>
      <w:r>
        <w:rPr>
          <w:rFonts w:ascii="仿宋_GB2312" w:eastAsia="仿宋_GB2312" w:hAnsi="Times New Roman" w:hint="eastAsia"/>
          <w:sz w:val="24"/>
        </w:rPr>
        <w:t>1.</w:t>
      </w:r>
      <w:r>
        <w:rPr>
          <w:rFonts w:ascii="仿宋_GB2312" w:eastAsia="仿宋_GB2312" w:hAnsi="Times New Roman" w:hint="eastAsia"/>
          <w:sz w:val="24"/>
        </w:rPr>
        <w:t>买方同意按下述条件向卖方购买下列汽车</w:t>
      </w:r>
      <w:r>
        <w:rPr>
          <w:rFonts w:ascii="仿宋_GB2312" w:eastAsia="仿宋_GB2312" w:hAnsi="Times New Roman"/>
          <w:sz w:val="24"/>
        </w:rPr>
        <w:t xml:space="preserve">          </w:t>
      </w:r>
      <w:r>
        <w:rPr>
          <w:rFonts w:ascii="仿宋_GB2312" w:eastAsia="仿宋_GB2312" w:hAnsi="Times New Roman" w:hint="eastAsia"/>
          <w:sz w:val="24"/>
        </w:rPr>
        <w:t>单位：人民币</w:t>
      </w:r>
      <w:r>
        <w:rPr>
          <w:rFonts w:ascii="仿宋_GB2312" w:eastAsia="仿宋_GB2312" w:hAnsi="Times New Roman"/>
          <w:sz w:val="24"/>
        </w:rPr>
        <w:t xml:space="preserve">          </w:t>
      </w:r>
    </w:p>
    <w:tbl>
      <w:tblPr>
        <w:tblW w:w="0" w:type="auto"/>
        <w:tblInd w:w="180" w:type="dxa"/>
        <w:tblLayout w:type="fixed"/>
        <w:tblCellMar>
          <w:top w:w="0" w:type="dxa"/>
          <w:left w:w="0" w:type="dxa"/>
          <w:bottom w:w="0" w:type="dxa"/>
          <w:right w:w="0" w:type="dxa"/>
        </w:tblCellMar>
        <w:tblLook w:val="04A0" w:firstRow="1" w:lastRow="0" w:firstColumn="1" w:lastColumn="0" w:noHBand="0" w:noVBand="1"/>
      </w:tblPr>
      <w:tblGrid>
        <w:gridCol w:w="2151"/>
        <w:gridCol w:w="833"/>
        <w:gridCol w:w="705"/>
        <w:gridCol w:w="1201"/>
        <w:gridCol w:w="2489"/>
        <w:gridCol w:w="1275"/>
        <w:gridCol w:w="1320"/>
      </w:tblGrid>
      <w:tr w:rsidR="00000000" w14:paraId="3F1FB827" w14:textId="77777777">
        <w:tblPrEx>
          <w:tblCellMar>
            <w:top w:w="0" w:type="dxa"/>
            <w:left w:w="0" w:type="dxa"/>
            <w:bottom w:w="0" w:type="dxa"/>
            <w:right w:w="0" w:type="dxa"/>
          </w:tblCellMar>
        </w:tblPrEx>
        <w:tc>
          <w:tcPr>
            <w:tcW w:w="21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A64AE2" w14:textId="77777777" w:rsidR="00AD711B" w:rsidRDefault="00AD711B">
            <w:pPr>
              <w:autoSpaceDE w:val="0"/>
              <w:autoSpaceDN w:val="0"/>
              <w:snapToGrid w:val="0"/>
              <w:ind w:right="-1200" w:firstLine="300"/>
              <w:rPr>
                <w:rFonts w:ascii="仿宋_GB2312" w:eastAsia="仿宋_GB2312" w:hAnsi="Times New Roman"/>
                <w:sz w:val="24"/>
              </w:rPr>
            </w:pPr>
            <w:r>
              <w:rPr>
                <w:rFonts w:ascii="仿宋_GB2312" w:eastAsia="仿宋_GB2312" w:hAnsi="Times New Roman" w:hint="eastAsia"/>
                <w:sz w:val="24"/>
              </w:rPr>
              <w:t>品牌及型号</w:t>
            </w:r>
          </w:p>
        </w:tc>
        <w:tc>
          <w:tcPr>
            <w:tcW w:w="8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938629" w14:textId="77777777" w:rsidR="00AD711B" w:rsidRDefault="00AD711B">
            <w:pPr>
              <w:autoSpaceDE w:val="0"/>
              <w:autoSpaceDN w:val="0"/>
              <w:snapToGrid w:val="0"/>
              <w:ind w:right="-1200"/>
              <w:rPr>
                <w:rFonts w:ascii="仿宋_GB2312" w:eastAsia="仿宋_GB2312" w:hAnsi="Times New Roman"/>
                <w:sz w:val="24"/>
              </w:rPr>
            </w:pPr>
            <w:r>
              <w:rPr>
                <w:rFonts w:ascii="仿宋_GB2312" w:eastAsia="仿宋_GB2312" w:hAnsi="Times New Roman" w:hint="eastAsia"/>
                <w:sz w:val="24"/>
              </w:rPr>
              <w:t>颜色</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EA65D" w14:textId="77777777" w:rsidR="00AD711B" w:rsidRDefault="00AD711B">
            <w:pPr>
              <w:autoSpaceDE w:val="0"/>
              <w:autoSpaceDN w:val="0"/>
              <w:snapToGrid w:val="0"/>
              <w:ind w:right="-1200"/>
              <w:rPr>
                <w:rFonts w:ascii="仿宋_GB2312" w:eastAsia="仿宋_GB2312" w:hAnsi="Times New Roman"/>
                <w:sz w:val="24"/>
              </w:rPr>
            </w:pPr>
            <w:r>
              <w:rPr>
                <w:rFonts w:ascii="仿宋_GB2312" w:eastAsia="仿宋_GB2312" w:hAnsi="Times New Roman" w:hint="eastAsia"/>
                <w:sz w:val="24"/>
              </w:rPr>
              <w:t>数量</w:t>
            </w:r>
          </w:p>
        </w:tc>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9124F6" w14:textId="77777777" w:rsidR="00AD711B" w:rsidRDefault="00AD711B">
            <w:pPr>
              <w:autoSpaceDE w:val="0"/>
              <w:autoSpaceDN w:val="0"/>
              <w:snapToGrid w:val="0"/>
              <w:ind w:right="-1200" w:firstLine="120"/>
              <w:rPr>
                <w:rFonts w:ascii="仿宋_GB2312" w:eastAsia="仿宋_GB2312" w:hAnsi="Times New Roman"/>
                <w:sz w:val="24"/>
              </w:rPr>
            </w:pPr>
            <w:r>
              <w:rPr>
                <w:rFonts w:ascii="仿宋_GB2312" w:eastAsia="仿宋_GB2312" w:hAnsi="Times New Roman" w:hint="eastAsia"/>
                <w:sz w:val="24"/>
              </w:rPr>
              <w:t>发动机号</w:t>
            </w:r>
          </w:p>
        </w:tc>
        <w:tc>
          <w:tcPr>
            <w:tcW w:w="2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43CFC7" w14:textId="77777777" w:rsidR="00AD711B" w:rsidRDefault="00AD711B">
            <w:pPr>
              <w:autoSpaceDE w:val="0"/>
              <w:autoSpaceDN w:val="0"/>
              <w:snapToGrid w:val="0"/>
              <w:ind w:right="-1200" w:firstLine="120"/>
              <w:rPr>
                <w:rFonts w:ascii="仿宋_GB2312" w:eastAsia="仿宋_GB2312" w:hAnsi="Times New Roman"/>
                <w:sz w:val="24"/>
              </w:rPr>
            </w:pPr>
            <w:r>
              <w:rPr>
                <w:rFonts w:ascii="仿宋_GB2312" w:eastAsia="仿宋_GB2312" w:hAnsi="Times New Roman" w:hint="eastAsia"/>
                <w:sz w:val="24"/>
              </w:rPr>
              <w:t>车架号</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6DA09" w14:textId="77777777" w:rsidR="00AD711B" w:rsidRDefault="00AD711B">
            <w:pPr>
              <w:autoSpaceDE w:val="0"/>
              <w:autoSpaceDN w:val="0"/>
              <w:snapToGrid w:val="0"/>
              <w:ind w:right="-1200"/>
              <w:rPr>
                <w:rFonts w:ascii="仿宋_GB2312" w:eastAsia="仿宋_GB2312" w:hAnsi="Times New Roman"/>
                <w:sz w:val="24"/>
              </w:rPr>
            </w:pPr>
            <w:r>
              <w:rPr>
                <w:rFonts w:ascii="仿宋_GB2312" w:eastAsia="仿宋_GB2312" w:hAnsi="Times New Roman" w:hint="eastAsia"/>
                <w:sz w:val="24"/>
              </w:rPr>
              <w:t xml:space="preserve"> </w:t>
            </w:r>
            <w:r>
              <w:rPr>
                <w:rFonts w:ascii="仿宋_GB2312" w:eastAsia="仿宋_GB2312" w:hAnsi="Times New Roman" w:hint="eastAsia"/>
                <w:sz w:val="24"/>
              </w:rPr>
              <w:t>定金</w:t>
            </w: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6775D0" w14:textId="77777777" w:rsidR="00AD711B" w:rsidRDefault="00AD711B">
            <w:pPr>
              <w:autoSpaceDE w:val="0"/>
              <w:autoSpaceDN w:val="0"/>
              <w:snapToGrid w:val="0"/>
              <w:ind w:right="-1200"/>
              <w:rPr>
                <w:rFonts w:ascii="仿宋_GB2312" w:eastAsia="仿宋_GB2312" w:hAnsi="Times New Roman"/>
                <w:sz w:val="24"/>
              </w:rPr>
            </w:pPr>
            <w:r>
              <w:rPr>
                <w:rFonts w:ascii="仿宋_GB2312" w:eastAsia="仿宋_GB2312" w:hAnsi="Times New Roman" w:hint="eastAsia"/>
                <w:sz w:val="24"/>
              </w:rPr>
              <w:t>包牌价</w:t>
            </w:r>
          </w:p>
        </w:tc>
      </w:tr>
      <w:tr w:rsidR="00000000" w14:paraId="6FB8C140" w14:textId="77777777">
        <w:tblPrEx>
          <w:tblCellMar>
            <w:top w:w="0" w:type="dxa"/>
            <w:left w:w="0" w:type="dxa"/>
            <w:bottom w:w="0" w:type="dxa"/>
            <w:right w:w="0" w:type="dxa"/>
          </w:tblCellMar>
        </w:tblPrEx>
        <w:tc>
          <w:tcPr>
            <w:tcW w:w="21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E8994B" w14:textId="77777777" w:rsidR="00AD711B" w:rsidRDefault="00AD711B">
            <w:pPr>
              <w:autoSpaceDE w:val="0"/>
              <w:autoSpaceDN w:val="0"/>
              <w:snapToGrid w:val="0"/>
              <w:ind w:right="-1200" w:firstLine="240"/>
              <w:rPr>
                <w:rFonts w:ascii="仿宋_GB2312" w:eastAsia="仿宋_GB2312" w:hAnsi="Times New Roman" w:hint="eastAsia"/>
                <w:sz w:val="24"/>
              </w:rPr>
            </w:pPr>
          </w:p>
        </w:tc>
        <w:tc>
          <w:tcPr>
            <w:tcW w:w="8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4DA603" w14:textId="77777777" w:rsidR="00AD711B" w:rsidRDefault="00AD711B">
            <w:pPr>
              <w:autoSpaceDE w:val="0"/>
              <w:autoSpaceDN w:val="0"/>
              <w:snapToGrid w:val="0"/>
              <w:ind w:right="-1200"/>
              <w:rPr>
                <w:rFonts w:ascii="仿宋_GB2312" w:eastAsia="仿宋_GB2312" w:hAnsi="Times New Roman" w:hint="eastAsia"/>
                <w:sz w:val="24"/>
              </w:rPr>
            </w:pP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E6C424" w14:textId="77777777" w:rsidR="00AD711B" w:rsidRDefault="00AD711B">
            <w:pPr>
              <w:autoSpaceDE w:val="0"/>
              <w:autoSpaceDN w:val="0"/>
              <w:snapToGrid w:val="0"/>
              <w:ind w:right="-1200"/>
              <w:rPr>
                <w:rFonts w:ascii="仿宋_GB2312" w:eastAsia="仿宋_GB2312" w:hAnsi="Times New Roman" w:hint="eastAsia"/>
                <w:sz w:val="24"/>
              </w:rPr>
            </w:pPr>
          </w:p>
        </w:tc>
        <w:tc>
          <w:tcPr>
            <w:tcW w:w="12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FF6714" w14:textId="77777777" w:rsidR="00AD711B" w:rsidRDefault="00AD711B">
            <w:pPr>
              <w:autoSpaceDE w:val="0"/>
              <w:autoSpaceDN w:val="0"/>
              <w:snapToGrid w:val="0"/>
              <w:ind w:right="-1200"/>
              <w:rPr>
                <w:rFonts w:ascii="仿宋_GB2312" w:eastAsia="仿宋_GB2312" w:hAnsi="Times New Roman" w:hint="eastAsia"/>
                <w:sz w:val="24"/>
              </w:rPr>
            </w:pPr>
          </w:p>
        </w:tc>
        <w:tc>
          <w:tcPr>
            <w:tcW w:w="24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22477A" w14:textId="77777777" w:rsidR="00AD711B" w:rsidRDefault="00AD711B">
            <w:pPr>
              <w:autoSpaceDE w:val="0"/>
              <w:autoSpaceDN w:val="0"/>
              <w:snapToGrid w:val="0"/>
              <w:ind w:right="-1200"/>
              <w:rPr>
                <w:rFonts w:ascii="仿宋_GB2312" w:eastAsia="仿宋_GB2312" w:hAnsi="Times New Roman"/>
                <w:sz w:val="24"/>
              </w:rPr>
            </w:pP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1CEBA9" w14:textId="77777777" w:rsidR="00AD711B" w:rsidRDefault="00AD711B">
            <w:pPr>
              <w:autoSpaceDE w:val="0"/>
              <w:autoSpaceDN w:val="0"/>
              <w:snapToGrid w:val="0"/>
              <w:ind w:right="-1200"/>
              <w:rPr>
                <w:rFonts w:ascii="仿宋_GB2312" w:eastAsia="仿宋_GB2312" w:hAnsi="Times New Roman"/>
                <w:sz w:val="24"/>
              </w:rPr>
            </w:pPr>
          </w:p>
        </w:tc>
        <w:tc>
          <w:tcPr>
            <w:tcW w:w="1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899228" w14:textId="77777777" w:rsidR="00AD711B" w:rsidRDefault="00AD711B">
            <w:pPr>
              <w:autoSpaceDE w:val="0"/>
              <w:autoSpaceDN w:val="0"/>
              <w:snapToGrid w:val="0"/>
              <w:ind w:right="-1200"/>
              <w:rPr>
                <w:rFonts w:ascii="仿宋_GB2312" w:eastAsia="仿宋_GB2312" w:hAnsi="Times New Roman" w:hint="eastAsia"/>
                <w:sz w:val="24"/>
              </w:rPr>
            </w:pPr>
          </w:p>
        </w:tc>
      </w:tr>
      <w:tr w:rsidR="00000000" w14:paraId="676C98CA" w14:textId="77777777">
        <w:tblPrEx>
          <w:tblCellMar>
            <w:top w:w="0" w:type="dxa"/>
            <w:left w:w="0" w:type="dxa"/>
            <w:bottom w:w="0" w:type="dxa"/>
            <w:right w:w="0" w:type="dxa"/>
          </w:tblCellMar>
        </w:tblPrEx>
        <w:tc>
          <w:tcPr>
            <w:tcW w:w="9974" w:type="dxa"/>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DAA159" w14:textId="77777777" w:rsidR="00AD711B" w:rsidRDefault="00AD711B">
            <w:pPr>
              <w:autoSpaceDE w:val="0"/>
              <w:autoSpaceDN w:val="0"/>
              <w:snapToGrid w:val="0"/>
              <w:ind w:right="-1200" w:firstLine="240"/>
              <w:rPr>
                <w:rFonts w:ascii="仿宋_GB2312" w:eastAsia="仿宋_GB2312" w:hAnsi="Times New Roman"/>
                <w:sz w:val="24"/>
              </w:rPr>
            </w:pPr>
          </w:p>
        </w:tc>
      </w:tr>
    </w:tbl>
    <w:p w14:paraId="4C2E65D5" w14:textId="77777777" w:rsidR="00AD711B" w:rsidRDefault="00AD711B">
      <w:pPr>
        <w:autoSpaceDE w:val="0"/>
        <w:autoSpaceDN w:val="0"/>
        <w:snapToGrid w:val="0"/>
        <w:spacing w:line="320" w:lineRule="exact"/>
        <w:ind w:left="228" w:right="-282"/>
        <w:rPr>
          <w:rFonts w:ascii="仿宋_GB2312" w:eastAsia="仿宋_GB2312" w:hAnsi="Times New Roman"/>
          <w:sz w:val="24"/>
        </w:rPr>
      </w:pPr>
      <w:r>
        <w:rPr>
          <w:rFonts w:ascii="仿宋_GB2312" w:eastAsia="仿宋_GB2312" w:hAnsi="Times New Roman"/>
          <w:sz w:val="24"/>
        </w:rPr>
        <w:t xml:space="preserve"> 2</w:t>
      </w:r>
      <w:r>
        <w:rPr>
          <w:rFonts w:ascii="仿宋_GB2312" w:eastAsia="仿宋_GB2312" w:hAnsi="Times New Roman" w:hint="eastAsia"/>
          <w:sz w:val="24"/>
        </w:rPr>
        <w:t>、卖方提供的车辆符合中华人民共和国国家及行业标准，是全新汽车。（含配备：备胎一只、千斤顶及顶杆、灭火器、随车工具一套、警示牌、随车资料袋）。</w:t>
      </w:r>
    </w:p>
    <w:p w14:paraId="2B057E29" w14:textId="77777777" w:rsidR="00AD711B" w:rsidRDefault="00AD711B">
      <w:pPr>
        <w:autoSpaceDE w:val="0"/>
        <w:autoSpaceDN w:val="0"/>
        <w:snapToGrid w:val="0"/>
        <w:spacing w:line="320" w:lineRule="exact"/>
        <w:ind w:left="228" w:right="-282"/>
        <w:rPr>
          <w:rFonts w:ascii="仿宋_GB2312" w:eastAsia="仿宋_GB2312" w:hAnsi="Times New Roman" w:hint="eastAsia"/>
          <w:sz w:val="24"/>
        </w:rPr>
      </w:pPr>
      <w:r>
        <w:rPr>
          <w:rFonts w:ascii="仿宋_GB2312" w:eastAsia="仿宋_GB2312" w:hAnsi="Times New Roman"/>
          <w:sz w:val="24"/>
        </w:rPr>
        <w:t>3</w:t>
      </w:r>
      <w:r>
        <w:rPr>
          <w:rFonts w:ascii="仿宋_GB2312" w:eastAsia="仿宋_GB2312" w:hAnsi="Times New Roman" w:hint="eastAsia"/>
          <w:sz w:val="24"/>
        </w:rPr>
        <w:t>、因新车的质量问题发生争议，由东莞市商检部门进行质量鉴定，如符合新车质量标准的鉴定费由买方承担：反之由卖方承担鉴定费。</w:t>
      </w:r>
    </w:p>
    <w:p w14:paraId="0CC5C64F" w14:textId="77777777" w:rsidR="00AD711B" w:rsidRDefault="00AD711B">
      <w:pPr>
        <w:autoSpaceDE w:val="0"/>
        <w:autoSpaceDN w:val="0"/>
        <w:snapToGrid w:val="0"/>
        <w:spacing w:line="320" w:lineRule="exact"/>
        <w:ind w:left="226" w:right="-282" w:hanging="18"/>
        <w:rPr>
          <w:rFonts w:ascii="仿宋_GB2312" w:eastAsia="仿宋_GB2312" w:hAnsi="Times New Roman" w:hint="eastAsia"/>
          <w:sz w:val="24"/>
        </w:rPr>
      </w:pPr>
      <w:r>
        <w:rPr>
          <w:rFonts w:ascii="仿宋_GB2312" w:eastAsia="仿宋_GB2312" w:hAnsi="Times New Roman" w:hint="eastAsia"/>
          <w:sz w:val="24"/>
        </w:rPr>
        <w:t>4</w:t>
      </w:r>
      <w:r>
        <w:rPr>
          <w:rFonts w:ascii="仿宋_GB2312" w:eastAsia="仿宋_GB2312" w:hAnsi="Times New Roman" w:hint="eastAsia"/>
          <w:sz w:val="24"/>
        </w:rPr>
        <w:t>、上牌时间：自合同签定后，卖方收到买方递交完整资料后</w:t>
      </w:r>
      <w:r>
        <w:rPr>
          <w:rFonts w:ascii="仿宋_GB2312" w:eastAsia="仿宋_GB2312" w:hAnsi="Times New Roman" w:hint="eastAsia"/>
          <w:sz w:val="24"/>
        </w:rPr>
        <w:t>15</w:t>
      </w:r>
      <w:r>
        <w:rPr>
          <w:rFonts w:ascii="仿宋_GB2312" w:eastAsia="仿宋_GB2312" w:hAnsi="Times New Roman" w:hint="eastAsia"/>
          <w:sz w:val="24"/>
        </w:rPr>
        <w:t>个工作日。（周六、日及法定节假日除外）。</w:t>
      </w:r>
    </w:p>
    <w:p w14:paraId="1A558F41" w14:textId="77777777" w:rsidR="00AD711B" w:rsidRDefault="00AD711B">
      <w:pPr>
        <w:autoSpaceDE w:val="0"/>
        <w:autoSpaceDN w:val="0"/>
        <w:snapToGrid w:val="0"/>
        <w:spacing w:line="320" w:lineRule="exact"/>
        <w:ind w:right="-282" w:firstLine="240"/>
        <w:rPr>
          <w:rFonts w:ascii="仿宋_GB2312" w:eastAsia="仿宋_GB2312" w:hAnsi="Times New Roman"/>
          <w:sz w:val="24"/>
        </w:rPr>
      </w:pPr>
      <w:r>
        <w:rPr>
          <w:rFonts w:ascii="仿宋_GB2312" w:eastAsia="仿宋_GB2312" w:hAnsi="Times New Roman" w:hint="eastAsia"/>
          <w:sz w:val="24"/>
        </w:rPr>
        <w:t>5</w:t>
      </w:r>
      <w:r>
        <w:rPr>
          <w:rFonts w:ascii="仿宋_GB2312" w:eastAsia="仿宋_GB2312" w:hAnsi="Times New Roman" w:hint="eastAsia"/>
          <w:sz w:val="24"/>
        </w:rPr>
        <w:t>、如因政府行为或不可抗拒因素造成卖方交车延误，则不构成卖方违约。</w:t>
      </w:r>
    </w:p>
    <w:p w14:paraId="5F65802F" w14:textId="77777777" w:rsidR="00AD711B" w:rsidRDefault="00AD711B">
      <w:pPr>
        <w:autoSpaceDE w:val="0"/>
        <w:autoSpaceDN w:val="0"/>
        <w:snapToGrid w:val="0"/>
        <w:spacing w:line="320" w:lineRule="exact"/>
        <w:ind w:left="228" w:right="-282"/>
        <w:rPr>
          <w:rFonts w:ascii="仿宋_GB2312" w:eastAsia="仿宋_GB2312" w:hAnsi="Times New Roman"/>
          <w:sz w:val="24"/>
        </w:rPr>
      </w:pPr>
      <w:r>
        <w:rPr>
          <w:rFonts w:ascii="仿宋_GB2312" w:eastAsia="仿宋_GB2312" w:hAnsi="Times New Roman" w:hint="eastAsia"/>
          <w:sz w:val="24"/>
        </w:rPr>
        <w:t>6</w:t>
      </w:r>
      <w:r>
        <w:rPr>
          <w:rFonts w:ascii="仿宋_GB2312" w:eastAsia="仿宋_GB2312" w:hAnsi="Times New Roman" w:hint="eastAsia"/>
          <w:sz w:val="24"/>
        </w:rPr>
        <w:t>、违约责任。买方在接到卖方电话通知后一周内付款提车，逾期付款提车则每日按合同总额</w:t>
      </w:r>
      <w:r>
        <w:rPr>
          <w:rFonts w:ascii="仿宋_GB2312" w:eastAsia="仿宋_GB2312" w:hAnsi="Times New Roman"/>
          <w:sz w:val="24"/>
        </w:rPr>
        <w:t>3</w:t>
      </w:r>
      <w:r>
        <w:rPr>
          <w:rFonts w:ascii="仿宋_GB2312" w:eastAsia="仿宋_GB2312" w:hAnsi="Times New Roman" w:hint="eastAsia"/>
          <w:sz w:val="24"/>
        </w:rPr>
        <w:t>‰向卖方偿付违约金。如买方以支票或转帐方式付款需等所付款项到卖方帐户上方可提车。卖方违约不按时交车的，按合同总额</w:t>
      </w:r>
      <w:r>
        <w:rPr>
          <w:rFonts w:ascii="仿宋_GB2312" w:eastAsia="仿宋_GB2312" w:hAnsi="Times New Roman"/>
          <w:sz w:val="24"/>
        </w:rPr>
        <w:t>3</w:t>
      </w:r>
      <w:r>
        <w:rPr>
          <w:rFonts w:ascii="仿宋_GB2312" w:eastAsia="仿宋_GB2312" w:hAnsi="Times New Roman" w:hint="eastAsia"/>
          <w:sz w:val="24"/>
        </w:rPr>
        <w:t>‰向买方偿付违约金。</w:t>
      </w:r>
    </w:p>
    <w:p w14:paraId="53F38787" w14:textId="77777777" w:rsidR="00AD711B" w:rsidRDefault="00AD711B">
      <w:pPr>
        <w:autoSpaceDE w:val="0"/>
        <w:autoSpaceDN w:val="0"/>
        <w:snapToGrid w:val="0"/>
        <w:spacing w:line="320" w:lineRule="exact"/>
        <w:ind w:right="-282" w:firstLine="240"/>
        <w:rPr>
          <w:rFonts w:ascii="仿宋_GB2312" w:eastAsia="仿宋_GB2312" w:hAnsi="Times New Roman"/>
          <w:sz w:val="24"/>
        </w:rPr>
      </w:pPr>
      <w:r>
        <w:rPr>
          <w:rFonts w:ascii="仿宋_GB2312" w:eastAsia="仿宋_GB2312" w:hAnsi="Times New Roman" w:hint="eastAsia"/>
          <w:sz w:val="24"/>
        </w:rPr>
        <w:t>7</w:t>
      </w:r>
      <w:r>
        <w:rPr>
          <w:rFonts w:ascii="仿宋_GB2312" w:eastAsia="仿宋_GB2312" w:hAnsi="Times New Roman" w:hint="eastAsia"/>
          <w:sz w:val="24"/>
        </w:rPr>
        <w:t>、买方未付清全部车款前，上述车辆所有权仍属卖方所有。</w:t>
      </w:r>
    </w:p>
    <w:p w14:paraId="40A33AEE" w14:textId="77777777" w:rsidR="00AD711B" w:rsidRDefault="00AD711B">
      <w:pPr>
        <w:tabs>
          <w:tab w:val="left" w:pos="360"/>
        </w:tabs>
        <w:autoSpaceDE w:val="0"/>
        <w:autoSpaceDN w:val="0"/>
        <w:snapToGrid w:val="0"/>
        <w:spacing w:line="320" w:lineRule="exact"/>
        <w:ind w:right="-282" w:firstLine="240"/>
        <w:rPr>
          <w:rFonts w:ascii="仿宋_GB2312" w:eastAsia="仿宋_GB2312" w:hAnsi="Times New Roman"/>
          <w:sz w:val="24"/>
        </w:rPr>
      </w:pPr>
      <w:r>
        <w:rPr>
          <w:rFonts w:ascii="仿宋_GB2312" w:eastAsia="仿宋_GB2312" w:hAnsi="Times New Roman" w:hint="eastAsia"/>
          <w:sz w:val="24"/>
        </w:rPr>
        <w:t>8</w:t>
      </w:r>
      <w:r>
        <w:rPr>
          <w:rFonts w:ascii="仿宋_GB2312" w:eastAsia="仿宋_GB2312" w:hAnsi="Times New Roman" w:hint="eastAsia"/>
          <w:sz w:val="24"/>
        </w:rPr>
        <w:t>、买方须自办：该车入户为非营运，如买方需入户营运，则需自行办理营运证。</w:t>
      </w:r>
      <w:r>
        <w:rPr>
          <w:rFonts w:ascii="仿宋_GB2312" w:eastAsia="仿宋_GB2312" w:hAnsi="Times New Roman"/>
          <w:sz w:val="24"/>
        </w:rPr>
        <w:t xml:space="preserve"> </w:t>
      </w:r>
    </w:p>
    <w:p w14:paraId="5118A416" w14:textId="77777777" w:rsidR="00AD711B" w:rsidRDefault="00AD711B">
      <w:pPr>
        <w:tabs>
          <w:tab w:val="left" w:pos="360"/>
        </w:tabs>
        <w:autoSpaceDE w:val="0"/>
        <w:autoSpaceDN w:val="0"/>
        <w:snapToGrid w:val="0"/>
        <w:spacing w:line="320" w:lineRule="exact"/>
        <w:ind w:right="-282" w:firstLine="240"/>
        <w:rPr>
          <w:rFonts w:ascii="仿宋_GB2312" w:eastAsia="仿宋_GB2312" w:hAnsi="Times New Roman" w:hint="eastAsia"/>
          <w:sz w:val="24"/>
        </w:rPr>
      </w:pPr>
      <w:r>
        <w:rPr>
          <w:rFonts w:ascii="仿宋_GB2312" w:eastAsia="仿宋_GB2312" w:hAnsi="Times New Roman" w:hint="eastAsia"/>
          <w:sz w:val="24"/>
        </w:rPr>
        <w:t>9</w:t>
      </w:r>
      <w:r>
        <w:rPr>
          <w:rFonts w:ascii="仿宋_GB2312" w:eastAsia="仿宋_GB2312" w:hAnsi="Times New Roman" w:hint="eastAsia"/>
          <w:sz w:val="24"/>
        </w:rPr>
        <w:t>、该车出牌号码：（按东莞市交警支队车辆管理所规定执行）□选号</w:t>
      </w:r>
      <w:r>
        <w:rPr>
          <w:rFonts w:ascii="仿宋_GB2312" w:eastAsia="仿宋_GB2312" w:hAnsi="Times New Roman"/>
          <w:sz w:val="24"/>
        </w:rPr>
        <w:t xml:space="preserve">  </w:t>
      </w:r>
      <w:r>
        <w:rPr>
          <w:rFonts w:ascii="仿宋_GB2312" w:eastAsia="仿宋_GB2312" w:hAnsi="Times New Roman" w:hint="eastAsia"/>
          <w:sz w:val="24"/>
        </w:rPr>
        <w:t>□不选号</w:t>
      </w:r>
    </w:p>
    <w:p w14:paraId="395BC1D9" w14:textId="77777777" w:rsidR="00AD711B" w:rsidRDefault="00AD711B">
      <w:pPr>
        <w:tabs>
          <w:tab w:val="left" w:pos="360"/>
        </w:tabs>
        <w:autoSpaceDE w:val="0"/>
        <w:autoSpaceDN w:val="0"/>
        <w:snapToGrid w:val="0"/>
        <w:spacing w:line="320" w:lineRule="exact"/>
        <w:ind w:right="-282" w:firstLine="240"/>
        <w:rPr>
          <w:rFonts w:ascii="仿宋_GB2312" w:eastAsia="仿宋_GB2312" w:hAnsi="Times New Roman" w:hint="eastAsia"/>
          <w:sz w:val="24"/>
        </w:rPr>
      </w:pPr>
      <w:r>
        <w:rPr>
          <w:rFonts w:ascii="仿宋_GB2312" w:eastAsia="仿宋_GB2312" w:hAnsi="Times New Roman" w:hint="eastAsia"/>
          <w:sz w:val="24"/>
        </w:rPr>
        <w:t>10</w:t>
      </w:r>
      <w:r>
        <w:rPr>
          <w:rFonts w:ascii="仿宋_GB2312" w:eastAsia="仿宋_GB2312" w:hAnsi="Times New Roman" w:hint="eastAsia"/>
          <w:sz w:val="24"/>
        </w:rPr>
        <w:t>、维修事宜：按照金杯汽车保修手册执行。</w:t>
      </w:r>
    </w:p>
    <w:p w14:paraId="10288437" w14:textId="77777777" w:rsidR="00AD711B" w:rsidRDefault="00AD711B">
      <w:pPr>
        <w:tabs>
          <w:tab w:val="left" w:pos="360"/>
        </w:tabs>
        <w:autoSpaceDE w:val="0"/>
        <w:autoSpaceDN w:val="0"/>
        <w:snapToGrid w:val="0"/>
        <w:spacing w:line="320" w:lineRule="exact"/>
        <w:ind w:right="-282" w:firstLine="240"/>
        <w:rPr>
          <w:rFonts w:ascii="仿宋_GB2312" w:eastAsia="仿宋_GB2312" w:hAnsi="Times New Roman"/>
          <w:sz w:val="24"/>
        </w:rPr>
      </w:pPr>
      <w:r>
        <w:rPr>
          <w:rFonts w:ascii="仿宋_GB2312" w:eastAsia="仿宋_GB2312" w:hAnsi="Times New Roman" w:hint="eastAsia"/>
          <w:sz w:val="24"/>
        </w:rPr>
        <w:t>11</w:t>
      </w:r>
      <w:r>
        <w:rPr>
          <w:rFonts w:ascii="仿宋_GB2312" w:eastAsia="仿宋_GB2312" w:hAnsi="Times New Roman" w:hint="eastAsia"/>
          <w:sz w:val="24"/>
        </w:rPr>
        <w:t>、交车地点：卖方汽车展销场。</w:t>
      </w:r>
    </w:p>
    <w:p w14:paraId="7D64F869" w14:textId="77777777" w:rsidR="00AD711B" w:rsidRDefault="00AD711B">
      <w:pPr>
        <w:tabs>
          <w:tab w:val="left" w:pos="360"/>
        </w:tabs>
        <w:autoSpaceDE w:val="0"/>
        <w:autoSpaceDN w:val="0"/>
        <w:snapToGrid w:val="0"/>
        <w:spacing w:line="320" w:lineRule="exact"/>
        <w:ind w:left="-2" w:right="-282" w:firstLine="240"/>
        <w:rPr>
          <w:rFonts w:ascii="仿宋_GB2312" w:eastAsia="仿宋_GB2312" w:hAnsi="Times New Roman" w:hint="eastAsia"/>
          <w:sz w:val="24"/>
        </w:rPr>
      </w:pPr>
      <w:r>
        <w:rPr>
          <w:rFonts w:ascii="仿宋_GB2312" w:eastAsia="仿宋_GB2312" w:hAnsi="Times New Roman" w:hint="eastAsia"/>
          <w:sz w:val="24"/>
        </w:rPr>
        <w:t>12</w:t>
      </w:r>
      <w:r>
        <w:rPr>
          <w:rFonts w:ascii="仿宋_GB2312" w:eastAsia="仿宋_GB2312" w:hAnsi="Times New Roman" w:hint="eastAsia"/>
          <w:sz w:val="24"/>
        </w:rPr>
        <w:t>、本合同签定后，买卖双方需单方终止本合同，应承担合同总价</w:t>
      </w:r>
      <w:r>
        <w:rPr>
          <w:rFonts w:ascii="仿宋_GB2312" w:eastAsia="仿宋_GB2312" w:hAnsi="Times New Roman"/>
          <w:sz w:val="24"/>
        </w:rPr>
        <w:t>5%</w:t>
      </w:r>
      <w:r>
        <w:rPr>
          <w:rFonts w:ascii="仿宋_GB2312" w:eastAsia="仿宋_GB2312" w:hAnsi="Times New Roman" w:hint="eastAsia"/>
          <w:sz w:val="24"/>
        </w:rPr>
        <w:t>的违约金。</w:t>
      </w:r>
      <w:r>
        <w:rPr>
          <w:rFonts w:ascii="仿宋_GB2312" w:eastAsia="仿宋_GB2312" w:hAnsi="Times New Roman"/>
          <w:sz w:val="24"/>
        </w:rPr>
        <w:t xml:space="preserve">     </w:t>
      </w:r>
    </w:p>
    <w:p w14:paraId="259ACA75" w14:textId="77777777" w:rsidR="00AD711B" w:rsidRDefault="00AD711B">
      <w:pPr>
        <w:tabs>
          <w:tab w:val="left" w:pos="360"/>
        </w:tabs>
        <w:autoSpaceDE w:val="0"/>
        <w:autoSpaceDN w:val="0"/>
        <w:snapToGrid w:val="0"/>
        <w:spacing w:line="320" w:lineRule="exact"/>
        <w:ind w:left="226" w:right="-282"/>
        <w:rPr>
          <w:rFonts w:ascii="仿宋_GB2312" w:eastAsia="仿宋_GB2312" w:hAnsi="Times New Roman" w:hint="eastAsia"/>
          <w:sz w:val="24"/>
        </w:rPr>
      </w:pPr>
      <w:r>
        <w:rPr>
          <w:rFonts w:ascii="仿宋_GB2312" w:eastAsia="仿宋_GB2312" w:hAnsi="Times New Roman" w:hint="eastAsia"/>
          <w:sz w:val="24"/>
        </w:rPr>
        <w:t>13</w:t>
      </w:r>
      <w:r>
        <w:rPr>
          <w:rFonts w:ascii="仿宋_GB2312" w:eastAsia="仿宋_GB2312" w:hAnsi="Times New Roman" w:hint="eastAsia"/>
          <w:sz w:val="24"/>
        </w:rPr>
        <w:t>、本合同发生争议，由双方协商或调解解决，协商或调解不成时由合同签订所在地仲裁机构仲裁或向签订合同所在地人民法院起诉。</w:t>
      </w:r>
    </w:p>
    <w:p w14:paraId="3E55BD26" w14:textId="77777777" w:rsidR="00AD711B" w:rsidRDefault="00AD711B">
      <w:pPr>
        <w:tabs>
          <w:tab w:val="left" w:pos="360"/>
        </w:tabs>
        <w:autoSpaceDE w:val="0"/>
        <w:autoSpaceDN w:val="0"/>
        <w:snapToGrid w:val="0"/>
        <w:spacing w:line="320" w:lineRule="exact"/>
        <w:ind w:left="-2" w:right="-282" w:firstLine="240"/>
        <w:rPr>
          <w:rFonts w:ascii="仿宋_GB2312" w:eastAsia="仿宋_GB2312" w:hAnsi="Times New Roman" w:hint="eastAsia"/>
          <w:sz w:val="24"/>
        </w:rPr>
      </w:pPr>
      <w:r>
        <w:rPr>
          <w:rFonts w:ascii="仿宋_GB2312" w:eastAsia="仿宋_GB2312" w:hAnsi="Times New Roman" w:hint="eastAsia"/>
          <w:sz w:val="24"/>
        </w:rPr>
        <w:t>14</w:t>
      </w:r>
      <w:r>
        <w:rPr>
          <w:rFonts w:ascii="仿宋_GB2312" w:eastAsia="仿宋_GB2312" w:hAnsi="Times New Roman" w:hint="eastAsia"/>
          <w:sz w:val="24"/>
        </w:rPr>
        <w:t>、买方需签定合同之日起</w:t>
      </w:r>
      <w:r>
        <w:rPr>
          <w:rFonts w:ascii="仿宋_GB2312" w:eastAsia="仿宋_GB2312" w:hAnsi="Times New Roman" w:hint="eastAsia"/>
          <w:sz w:val="24"/>
        </w:rPr>
        <w:t>5</w:t>
      </w:r>
      <w:r>
        <w:rPr>
          <w:rFonts w:ascii="仿宋_GB2312" w:eastAsia="仿宋_GB2312" w:hAnsi="Times New Roman" w:hint="eastAsia"/>
          <w:sz w:val="24"/>
        </w:rPr>
        <w:t>个工作日内交付定金</w:t>
      </w:r>
      <w:r>
        <w:rPr>
          <w:rFonts w:ascii="仿宋_GB2312" w:eastAsia="仿宋_GB2312" w:hAnsi="Times New Roman" w:hint="eastAsia"/>
          <w:sz w:val="24"/>
        </w:rPr>
        <w:t>10000</w:t>
      </w:r>
      <w:r>
        <w:rPr>
          <w:rFonts w:ascii="仿宋_GB2312" w:eastAsia="仿宋_GB2312" w:hAnsi="Times New Roman" w:hint="eastAsia"/>
          <w:sz w:val="24"/>
        </w:rPr>
        <w:t>元，上牌前付至总价</w:t>
      </w:r>
      <w:r>
        <w:rPr>
          <w:rFonts w:ascii="仿宋_GB2312" w:eastAsia="仿宋_GB2312" w:hAnsi="Times New Roman" w:hint="eastAsia"/>
          <w:sz w:val="24"/>
        </w:rPr>
        <w:t>90%</w:t>
      </w:r>
      <w:r>
        <w:rPr>
          <w:rFonts w:ascii="仿宋_GB2312" w:eastAsia="仿宋_GB2312" w:hAnsi="Times New Roman" w:hint="eastAsia"/>
          <w:sz w:val="24"/>
        </w:rPr>
        <w:t>（含定金）交车时付总价剩余</w:t>
      </w:r>
      <w:r>
        <w:rPr>
          <w:rFonts w:ascii="仿宋_GB2312" w:eastAsia="仿宋_GB2312" w:hAnsi="Times New Roman" w:hint="eastAsia"/>
          <w:sz w:val="24"/>
        </w:rPr>
        <w:t>10%</w:t>
      </w:r>
      <w:r>
        <w:rPr>
          <w:rFonts w:ascii="仿宋_GB2312" w:eastAsia="仿宋_GB2312" w:hAnsi="Times New Roman" w:hint="eastAsia"/>
          <w:sz w:val="24"/>
        </w:rPr>
        <w:t>。</w:t>
      </w:r>
    </w:p>
    <w:p w14:paraId="7A46420D" w14:textId="77777777" w:rsidR="00AD711B" w:rsidRDefault="00AD711B">
      <w:pPr>
        <w:tabs>
          <w:tab w:val="left" w:pos="360"/>
        </w:tabs>
        <w:autoSpaceDE w:val="0"/>
        <w:autoSpaceDN w:val="0"/>
        <w:snapToGrid w:val="0"/>
        <w:spacing w:line="320" w:lineRule="exact"/>
        <w:ind w:left="-2" w:right="-282" w:firstLine="240"/>
        <w:rPr>
          <w:rFonts w:ascii="仿宋_GB2312" w:eastAsia="仿宋_GB2312" w:hAnsi="Times New Roman" w:hint="eastAsia"/>
          <w:sz w:val="24"/>
        </w:rPr>
      </w:pPr>
      <w:r>
        <w:rPr>
          <w:rFonts w:ascii="仿宋_GB2312" w:eastAsia="仿宋_GB2312" w:hAnsi="Times New Roman" w:hint="eastAsia"/>
          <w:sz w:val="24"/>
        </w:rPr>
        <w:t>15</w:t>
      </w:r>
      <w:r>
        <w:rPr>
          <w:rFonts w:ascii="仿宋_GB2312" w:eastAsia="仿宋_GB2312" w:hAnsi="Times New Roman" w:hint="eastAsia"/>
          <w:sz w:val="24"/>
        </w:rPr>
        <w:t>、卖方、买方补充事宜：</w:t>
      </w:r>
    </w:p>
    <w:p w14:paraId="7460F876" w14:textId="77777777" w:rsidR="00AD711B" w:rsidRDefault="00AD711B">
      <w:pPr>
        <w:tabs>
          <w:tab w:val="left" w:pos="360"/>
        </w:tabs>
        <w:spacing w:line="320" w:lineRule="exact"/>
        <w:ind w:left="2280" w:right="-282" w:hanging="2280"/>
        <w:rPr>
          <w:rFonts w:ascii="仿宋_GB2312" w:eastAsia="仿宋_GB2312" w:hint="eastAsia"/>
          <w:sz w:val="24"/>
        </w:rPr>
      </w:pPr>
      <w:r>
        <w:rPr>
          <w:rFonts w:ascii="仿宋_GB2312" w:eastAsia="仿宋_GB2312" w:hAnsi="仿宋_GB2312"/>
          <w:sz w:val="24"/>
        </w:rPr>
        <w:t xml:space="preserve">     </w:t>
      </w:r>
      <w:r>
        <w:rPr>
          <w:rFonts w:ascii="仿宋_GB2312" w:eastAsia="仿宋_GB2312" w:hAnsi="仿宋_GB2312"/>
          <w:sz w:val="24"/>
        </w:rPr>
        <w:t>补充事宜：</w:t>
      </w:r>
      <w:r>
        <w:rPr>
          <w:rFonts w:ascii="仿宋_GB2312" w:eastAsia="仿宋_GB2312" w:hAnsi="仿宋_GB2312"/>
          <w:sz w:val="24"/>
        </w:rPr>
        <w:t>1</w:t>
      </w:r>
      <w:r>
        <w:rPr>
          <w:rFonts w:ascii="仿宋_GB2312" w:eastAsia="仿宋_GB2312"/>
          <w:sz w:val="24"/>
        </w:rPr>
        <w:t>）、上户为：非</w:t>
      </w:r>
      <w:r>
        <w:rPr>
          <w:rFonts w:ascii="仿宋_GB2312" w:eastAsia="仿宋_GB2312" w:hint="eastAsia"/>
          <w:sz w:val="24"/>
        </w:rPr>
        <w:t>营</w:t>
      </w:r>
      <w:r>
        <w:rPr>
          <w:rFonts w:ascii="仿宋_GB2312" w:eastAsia="仿宋_GB2312"/>
          <w:sz w:val="24"/>
        </w:rPr>
        <w:t>运</w:t>
      </w:r>
      <w:r>
        <w:rPr>
          <w:rFonts w:ascii="仿宋_GB2312" w:eastAsia="仿宋_GB2312" w:hint="eastAsia"/>
          <w:sz w:val="24"/>
        </w:rPr>
        <w:t>，商业险保基本六项第三者</w:t>
      </w:r>
      <w:r>
        <w:rPr>
          <w:rFonts w:ascii="仿宋_GB2312" w:eastAsia="仿宋_GB2312" w:hint="eastAsia"/>
          <w:sz w:val="24"/>
        </w:rPr>
        <w:t>100</w:t>
      </w:r>
      <w:r>
        <w:rPr>
          <w:rFonts w:ascii="仿宋_GB2312" w:eastAsia="仿宋_GB2312" w:hint="eastAsia"/>
          <w:sz w:val="24"/>
        </w:rPr>
        <w:t>万。</w:t>
      </w:r>
      <w:r>
        <w:rPr>
          <w:rFonts w:ascii="仿宋_GB2312" w:eastAsia="仿宋_GB2312" w:hint="eastAsia"/>
          <w:sz w:val="24"/>
        </w:rPr>
        <w:t xml:space="preserve">         </w:t>
      </w:r>
    </w:p>
    <w:p w14:paraId="4728BDEE" w14:textId="77777777" w:rsidR="00AD711B" w:rsidRDefault="00AD711B">
      <w:pPr>
        <w:tabs>
          <w:tab w:val="left" w:pos="360"/>
        </w:tabs>
        <w:spacing w:line="320" w:lineRule="exact"/>
        <w:ind w:left="2280" w:right="-282" w:hanging="2280"/>
        <w:rPr>
          <w:rFonts w:ascii="仿宋_GB2312" w:eastAsia="仿宋_GB2312"/>
          <w:sz w:val="24"/>
        </w:rPr>
      </w:pPr>
      <w:r>
        <w:rPr>
          <w:rFonts w:ascii="仿宋_GB2312" w:eastAsia="仿宋_GB2312" w:hint="eastAsia"/>
          <w:sz w:val="24"/>
        </w:rPr>
        <w:t xml:space="preserve">               2</w:t>
      </w:r>
      <w:r>
        <w:rPr>
          <w:rFonts w:ascii="仿宋_GB2312" w:eastAsia="仿宋_GB2312" w:hint="eastAsia"/>
          <w:sz w:val="24"/>
        </w:rPr>
        <w:t>）、至合同签订三日起</w:t>
      </w:r>
      <w:r>
        <w:rPr>
          <w:rFonts w:ascii="仿宋_GB2312" w:eastAsia="仿宋_GB2312" w:hint="eastAsia"/>
          <w:sz w:val="24"/>
        </w:rPr>
        <w:t>5</w:t>
      </w:r>
      <w:r>
        <w:rPr>
          <w:rFonts w:ascii="仿宋_GB2312" w:eastAsia="仿宋_GB2312" w:hint="eastAsia"/>
          <w:sz w:val="24"/>
        </w:rPr>
        <w:t>个工作日内付定金</w:t>
      </w:r>
      <w:r>
        <w:rPr>
          <w:rFonts w:ascii="仿宋_GB2312" w:eastAsia="仿宋_GB2312" w:hint="eastAsia"/>
          <w:sz w:val="24"/>
        </w:rPr>
        <w:t>10000</w:t>
      </w:r>
      <w:r>
        <w:rPr>
          <w:rFonts w:ascii="仿宋_GB2312" w:eastAsia="仿宋_GB2312" w:hint="eastAsia"/>
          <w:sz w:val="24"/>
        </w:rPr>
        <w:t>元。</w:t>
      </w:r>
    </w:p>
    <w:p w14:paraId="010B1F11" w14:textId="77777777" w:rsidR="00AD711B" w:rsidRDefault="00AD711B">
      <w:pPr>
        <w:tabs>
          <w:tab w:val="left" w:pos="360"/>
        </w:tabs>
        <w:autoSpaceDE w:val="0"/>
        <w:autoSpaceDN w:val="0"/>
        <w:spacing w:line="320" w:lineRule="exact"/>
        <w:ind w:right="-282" w:firstLine="240"/>
        <w:rPr>
          <w:rFonts w:ascii="仿宋_GB2312" w:eastAsia="仿宋_GB2312"/>
          <w:sz w:val="24"/>
        </w:rPr>
      </w:pPr>
      <w:r>
        <w:rPr>
          <w:rFonts w:ascii="仿宋_GB2312" w:eastAsia="仿宋_GB2312"/>
          <w:sz w:val="24"/>
        </w:rPr>
        <w:t xml:space="preserve">           </w:t>
      </w:r>
      <w:r>
        <w:rPr>
          <w:rFonts w:ascii="仿宋_GB2312" w:eastAsia="仿宋_GB2312" w:hint="eastAsia"/>
          <w:sz w:val="24"/>
        </w:rPr>
        <w:t xml:space="preserve">  3</w:t>
      </w:r>
      <w:r>
        <w:rPr>
          <w:rFonts w:ascii="仿宋_GB2312" w:eastAsia="仿宋_GB2312" w:hint="eastAsia"/>
          <w:sz w:val="24"/>
        </w:rPr>
        <w:t>）</w:t>
      </w:r>
      <w:r>
        <w:rPr>
          <w:rFonts w:ascii="仿宋_GB2312" w:eastAsia="仿宋_GB2312"/>
          <w:sz w:val="24"/>
        </w:rPr>
        <w:t>、工厂订车时间自签订合同付定金后</w:t>
      </w:r>
      <w:r>
        <w:rPr>
          <w:rFonts w:ascii="仿宋_GB2312" w:eastAsia="仿宋_GB2312"/>
          <w:sz w:val="24"/>
        </w:rPr>
        <w:t>35</w:t>
      </w:r>
      <w:r>
        <w:rPr>
          <w:rFonts w:ascii="仿宋_GB2312" w:eastAsia="仿宋_GB2312"/>
          <w:sz w:val="24"/>
        </w:rPr>
        <w:t>天到车</w:t>
      </w:r>
      <w:r>
        <w:rPr>
          <w:rFonts w:ascii="仿宋_GB2312" w:eastAsia="仿宋_GB2312" w:hint="eastAsia"/>
          <w:sz w:val="24"/>
        </w:rPr>
        <w:t>。</w:t>
      </w:r>
    </w:p>
    <w:p w14:paraId="22B38D38" w14:textId="77777777" w:rsidR="00AD711B" w:rsidRDefault="00AD711B">
      <w:pPr>
        <w:tabs>
          <w:tab w:val="left" w:pos="360"/>
        </w:tabs>
        <w:spacing w:line="320" w:lineRule="exact"/>
        <w:ind w:right="-282" w:firstLine="240"/>
        <w:rPr>
          <w:rFonts w:ascii="仿宋_GB2312" w:eastAsia="仿宋_GB2312" w:hAnsi="仿宋_GB2312"/>
          <w:sz w:val="24"/>
        </w:rPr>
      </w:pPr>
      <w:r>
        <w:rPr>
          <w:rFonts w:ascii="仿宋_GB2312" w:eastAsia="仿宋_GB2312" w:hAnsi="仿宋_GB2312"/>
          <w:sz w:val="24"/>
        </w:rPr>
        <w:t xml:space="preserve">         </w:t>
      </w:r>
      <w:r>
        <w:rPr>
          <w:rFonts w:ascii="仿宋_GB2312" w:eastAsia="仿宋_GB2312" w:hAnsi="仿宋_GB2312" w:hint="eastAsia"/>
          <w:sz w:val="24"/>
        </w:rPr>
        <w:t xml:space="preserve"> </w:t>
      </w:r>
      <w:r>
        <w:rPr>
          <w:rFonts w:ascii="仿宋_GB2312" w:eastAsia="仿宋_GB2312" w:hAnsi="仿宋_GB2312"/>
          <w:sz w:val="24"/>
        </w:rPr>
        <w:t xml:space="preserve"> </w:t>
      </w:r>
      <w:r>
        <w:rPr>
          <w:rFonts w:ascii="仿宋_GB2312" w:eastAsia="仿宋_GB2312" w:hAnsi="仿宋_GB2312" w:hint="eastAsia"/>
          <w:sz w:val="24"/>
        </w:rPr>
        <w:t xml:space="preserve"> </w:t>
      </w:r>
      <w:r>
        <w:rPr>
          <w:rFonts w:ascii="仿宋_GB2312" w:eastAsia="仿宋_GB2312" w:hAnsi="仿宋_GB2312"/>
          <w:sz w:val="24"/>
        </w:rPr>
        <w:t xml:space="preserve"> </w:t>
      </w:r>
      <w:r>
        <w:rPr>
          <w:rFonts w:ascii="仿宋_GB2312" w:eastAsia="仿宋_GB2312" w:hAnsi="仿宋_GB2312" w:hint="eastAsia"/>
          <w:sz w:val="24"/>
        </w:rPr>
        <w:t>4</w:t>
      </w:r>
      <w:r>
        <w:rPr>
          <w:rFonts w:ascii="仿宋_GB2312" w:eastAsia="仿宋_GB2312" w:hAnsi="仿宋_GB2312"/>
          <w:sz w:val="24"/>
        </w:rPr>
        <w:t>）、转帐至以下帐户：</w:t>
      </w:r>
    </w:p>
    <w:p w14:paraId="5D3D601B" w14:textId="77777777" w:rsidR="00AD711B" w:rsidRDefault="00AD711B">
      <w:pPr>
        <w:tabs>
          <w:tab w:val="left" w:pos="360"/>
        </w:tabs>
        <w:spacing w:line="320" w:lineRule="exact"/>
        <w:ind w:right="-282" w:firstLine="240"/>
        <w:rPr>
          <w:rFonts w:ascii="仿宋_GB2312" w:eastAsia="仿宋_GB2312"/>
          <w:sz w:val="24"/>
        </w:rPr>
      </w:pPr>
      <w:r>
        <w:rPr>
          <w:rFonts w:ascii="仿宋_GB2312" w:eastAsia="仿宋_GB2312" w:hAnsi="仿宋_GB2312"/>
          <w:sz w:val="24"/>
        </w:rPr>
        <w:t xml:space="preserve">                   </w:t>
      </w:r>
    </w:p>
    <w:p w14:paraId="169CCB15" w14:textId="77777777" w:rsidR="00AD711B" w:rsidRDefault="00AD711B">
      <w:pPr>
        <w:autoSpaceDE w:val="0"/>
        <w:autoSpaceDN w:val="0"/>
        <w:snapToGrid w:val="0"/>
        <w:spacing w:line="320" w:lineRule="exact"/>
        <w:ind w:left="-2" w:right="-1200" w:firstLine="240"/>
        <w:rPr>
          <w:rFonts w:ascii="仿宋_GB2312" w:eastAsia="仿宋_GB2312" w:hAnsi="Times New Roman"/>
          <w:sz w:val="24"/>
        </w:rPr>
      </w:pPr>
      <w:r>
        <w:rPr>
          <w:rFonts w:ascii="仿宋_GB2312" w:eastAsia="仿宋_GB2312" w:hAnsi="Times New Roman" w:hint="eastAsia"/>
          <w:sz w:val="24"/>
        </w:rPr>
        <w:t>16</w:t>
      </w:r>
      <w:r>
        <w:rPr>
          <w:rFonts w:ascii="仿宋_GB2312" w:eastAsia="仿宋_GB2312" w:hAnsi="Times New Roman" w:hint="eastAsia"/>
          <w:sz w:val="24"/>
        </w:rPr>
        <w:t>、本合同一式两份，双方各持一份，具有同等法律效力，交车完毕合同自动作废。</w:t>
      </w:r>
    </w:p>
    <w:p w14:paraId="1827A991" w14:textId="77777777" w:rsidR="00AD711B" w:rsidRDefault="00AD711B">
      <w:pPr>
        <w:autoSpaceDE w:val="0"/>
        <w:autoSpaceDN w:val="0"/>
        <w:snapToGrid w:val="0"/>
        <w:spacing w:line="320" w:lineRule="exact"/>
        <w:ind w:right="-1200" w:firstLine="240"/>
        <w:rPr>
          <w:rFonts w:ascii="仿宋_GB2312" w:eastAsia="仿宋_GB2312" w:hAnsi="Times New Roman" w:hint="eastAsia"/>
          <w:sz w:val="24"/>
        </w:rPr>
      </w:pPr>
    </w:p>
    <w:p w14:paraId="44A0D759" w14:textId="77777777" w:rsidR="00AD711B" w:rsidRDefault="00AD711B">
      <w:pPr>
        <w:autoSpaceDE w:val="0"/>
        <w:autoSpaceDN w:val="0"/>
        <w:snapToGrid w:val="0"/>
        <w:spacing w:line="320" w:lineRule="exact"/>
        <w:ind w:right="-1200" w:firstLine="240"/>
        <w:rPr>
          <w:rFonts w:ascii="仿宋_GB2312" w:eastAsia="仿宋_GB2312" w:hAnsi="Times New Roman" w:hint="eastAsia"/>
          <w:sz w:val="24"/>
        </w:rPr>
      </w:pPr>
    </w:p>
    <w:p w14:paraId="69724998" w14:textId="77777777" w:rsidR="00AD711B" w:rsidRDefault="00AD711B">
      <w:pPr>
        <w:autoSpaceDE w:val="0"/>
        <w:autoSpaceDN w:val="0"/>
        <w:snapToGrid w:val="0"/>
        <w:spacing w:line="320" w:lineRule="exact"/>
        <w:ind w:right="-1200"/>
        <w:rPr>
          <w:rFonts w:ascii="仿宋_GB2312" w:eastAsia="仿宋_GB2312" w:hAnsi="Times New Roman" w:hint="eastAsia"/>
          <w:sz w:val="24"/>
        </w:rPr>
      </w:pPr>
    </w:p>
    <w:p w14:paraId="607E4B5F" w14:textId="77777777" w:rsidR="00AD711B" w:rsidRDefault="00AD711B">
      <w:pPr>
        <w:autoSpaceDE w:val="0"/>
        <w:autoSpaceDN w:val="0"/>
        <w:snapToGrid w:val="0"/>
        <w:spacing w:line="320" w:lineRule="exact"/>
        <w:ind w:right="-1200" w:firstLine="240"/>
        <w:rPr>
          <w:rFonts w:ascii="仿宋_GB2312" w:eastAsia="仿宋_GB2312" w:hAnsi="Times New Roman"/>
          <w:sz w:val="24"/>
        </w:rPr>
      </w:pPr>
      <w:r>
        <w:rPr>
          <w:rFonts w:ascii="仿宋_GB2312" w:eastAsia="仿宋_GB2312" w:hAnsi="Times New Roman" w:hint="eastAsia"/>
          <w:sz w:val="24"/>
        </w:rPr>
        <w:t>卖方：（公章）</w:t>
      </w:r>
      <w:r>
        <w:rPr>
          <w:rFonts w:ascii="仿宋_GB2312" w:eastAsia="仿宋_GB2312" w:hAnsi="Times New Roman"/>
          <w:sz w:val="24"/>
        </w:rPr>
        <w:t xml:space="preserve">       </w:t>
      </w:r>
      <w:r>
        <w:rPr>
          <w:rFonts w:ascii="仿宋_GB2312" w:eastAsia="仿宋_GB2312" w:hAnsi="Times New Roman"/>
          <w:sz w:val="24"/>
        </w:rPr>
        <w:tab/>
      </w:r>
      <w:r>
        <w:rPr>
          <w:rFonts w:ascii="仿宋_GB2312" w:eastAsia="仿宋_GB2312" w:hAnsi="Times New Roman"/>
          <w:sz w:val="24"/>
        </w:rPr>
        <w:tab/>
      </w:r>
      <w:r>
        <w:rPr>
          <w:rFonts w:ascii="仿宋_GB2312" w:eastAsia="仿宋_GB2312" w:hAnsi="Times New Roman"/>
          <w:sz w:val="24"/>
        </w:rPr>
        <w:tab/>
      </w:r>
      <w:r>
        <w:rPr>
          <w:rFonts w:ascii="仿宋_GB2312" w:eastAsia="仿宋_GB2312" w:hAnsi="Times New Roman"/>
          <w:sz w:val="24"/>
        </w:rPr>
        <w:tab/>
      </w:r>
      <w:r>
        <w:rPr>
          <w:rFonts w:ascii="仿宋_GB2312" w:eastAsia="仿宋_GB2312" w:hAnsi="Times New Roman"/>
          <w:sz w:val="24"/>
        </w:rPr>
        <w:tab/>
      </w:r>
      <w:r>
        <w:rPr>
          <w:rFonts w:ascii="仿宋_GB2312" w:eastAsia="仿宋_GB2312" w:hAnsi="Times New Roman"/>
          <w:sz w:val="24"/>
        </w:rPr>
        <w:tab/>
        <w:t xml:space="preserve">  </w:t>
      </w:r>
      <w:r>
        <w:rPr>
          <w:rFonts w:ascii="仿宋_GB2312" w:eastAsia="仿宋_GB2312" w:hAnsi="Times New Roman" w:hint="eastAsia"/>
          <w:sz w:val="24"/>
        </w:rPr>
        <w:t xml:space="preserve">   </w:t>
      </w:r>
      <w:r>
        <w:rPr>
          <w:rFonts w:ascii="仿宋_GB2312" w:eastAsia="仿宋_GB2312" w:hAnsi="Times New Roman" w:hint="eastAsia"/>
          <w:sz w:val="24"/>
        </w:rPr>
        <w:t>买方法人代表：</w:t>
      </w:r>
    </w:p>
    <w:p w14:paraId="681E5EB7" w14:textId="77777777" w:rsidR="00AD711B" w:rsidRDefault="00AD711B">
      <w:pPr>
        <w:autoSpaceDE w:val="0"/>
        <w:autoSpaceDN w:val="0"/>
        <w:snapToGrid w:val="0"/>
        <w:spacing w:line="320" w:lineRule="exact"/>
        <w:ind w:right="-1200" w:firstLine="240"/>
        <w:rPr>
          <w:rFonts w:ascii="仿宋_GB2312" w:eastAsia="仿宋_GB2312" w:hAnsi="Times New Roman"/>
          <w:sz w:val="24"/>
        </w:rPr>
      </w:pPr>
      <w:r>
        <w:rPr>
          <w:rFonts w:ascii="仿宋_GB2312" w:eastAsia="仿宋_GB2312" w:hAnsi="Times New Roman" w:hint="eastAsia"/>
          <w:sz w:val="24"/>
        </w:rPr>
        <w:t>卖方经办人：</w:t>
      </w:r>
      <w:r>
        <w:rPr>
          <w:rFonts w:ascii="仿宋_GB2312" w:eastAsia="仿宋_GB2312" w:hAnsi="Times New Roman"/>
          <w:sz w:val="24"/>
        </w:rPr>
        <w:t xml:space="preserve">                           </w:t>
      </w:r>
      <w:r>
        <w:rPr>
          <w:rFonts w:ascii="仿宋_GB2312" w:eastAsia="仿宋_GB2312" w:hAnsi="Times New Roman" w:hint="eastAsia"/>
          <w:sz w:val="24"/>
        </w:rPr>
        <w:t xml:space="preserve">     </w:t>
      </w:r>
      <w:r>
        <w:rPr>
          <w:rFonts w:ascii="仿宋_GB2312" w:eastAsia="仿宋_GB2312" w:hAnsi="Times New Roman"/>
          <w:sz w:val="24"/>
        </w:rPr>
        <w:t xml:space="preserve"> </w:t>
      </w:r>
      <w:r>
        <w:rPr>
          <w:rFonts w:ascii="仿宋_GB2312" w:eastAsia="仿宋_GB2312" w:hAnsi="Times New Roman" w:hint="eastAsia"/>
          <w:sz w:val="24"/>
        </w:rPr>
        <w:t>买方经办人：</w:t>
      </w:r>
    </w:p>
    <w:p w14:paraId="70247F33" w14:textId="77777777" w:rsidR="00AD711B" w:rsidRDefault="00AD711B">
      <w:pPr>
        <w:autoSpaceDE w:val="0"/>
        <w:autoSpaceDN w:val="0"/>
        <w:snapToGrid w:val="0"/>
        <w:spacing w:line="320" w:lineRule="exact"/>
        <w:ind w:right="-1200" w:firstLine="240"/>
        <w:rPr>
          <w:rFonts w:ascii="仿宋_GB2312" w:eastAsia="仿宋_GB2312" w:hAnsi="Times New Roman"/>
          <w:sz w:val="24"/>
        </w:rPr>
      </w:pPr>
      <w:r>
        <w:rPr>
          <w:rFonts w:ascii="仿宋_GB2312" w:eastAsia="仿宋_GB2312" w:hAnsi="Times New Roman" w:hint="eastAsia"/>
          <w:sz w:val="24"/>
        </w:rPr>
        <w:t>卖方销售经理审核：</w:t>
      </w:r>
    </w:p>
    <w:p w14:paraId="4330B6DF" w14:textId="77777777" w:rsidR="00AD711B" w:rsidRPr="00CC34B0" w:rsidRDefault="00AD711B">
      <w:pPr>
        <w:autoSpaceDE w:val="0"/>
        <w:autoSpaceDN w:val="0"/>
        <w:snapToGrid w:val="0"/>
        <w:spacing w:line="320" w:lineRule="exact"/>
        <w:ind w:right="-1200" w:firstLine="240"/>
        <w:rPr>
          <w:rFonts w:eastAsia="仿宋_GB2312" w:hAnsi="Times New Roman"/>
        </w:rPr>
      </w:pPr>
      <w:r>
        <w:rPr>
          <w:rFonts w:ascii="仿宋_GB2312" w:eastAsia="仿宋_GB2312" w:hAnsi="Times New Roman"/>
          <w:sz w:val="24"/>
        </w:rPr>
        <w:t xml:space="preserve">                                </w:t>
      </w:r>
      <w:r>
        <w:rPr>
          <w:rFonts w:ascii="仿宋_GB2312" w:eastAsia="仿宋_GB2312" w:hAnsi="Times New Roman" w:hint="eastAsia"/>
          <w:sz w:val="24"/>
        </w:rPr>
        <w:t xml:space="preserve">         </w:t>
      </w:r>
      <w:r>
        <w:rPr>
          <w:rFonts w:ascii="仿宋_GB2312" w:eastAsia="仿宋_GB2312" w:hAnsi="Times New Roman"/>
          <w:sz w:val="24"/>
        </w:rPr>
        <w:t xml:space="preserve">   </w:t>
      </w:r>
      <w:r>
        <w:rPr>
          <w:rFonts w:ascii="仿宋_GB2312" w:eastAsia="仿宋_GB2312" w:hAnsi="Times New Roman" w:hint="eastAsia"/>
          <w:sz w:val="24"/>
        </w:rPr>
        <w:t>签约时间：</w:t>
      </w:r>
      <w:r>
        <w:rPr>
          <w:rFonts w:ascii="仿宋_GB2312" w:eastAsia="仿宋_GB2312" w:hAnsi="Times New Roman"/>
          <w:sz w:val="24"/>
        </w:rPr>
        <w:t xml:space="preserve">   </w:t>
      </w:r>
      <w:r>
        <w:rPr>
          <w:rFonts w:ascii="仿宋_GB2312" w:eastAsia="仿宋_GB2312" w:hAnsi="Times New Roman" w:hint="eastAsia"/>
          <w:sz w:val="24"/>
        </w:rPr>
        <w:t>年</w:t>
      </w:r>
      <w:r>
        <w:rPr>
          <w:rFonts w:ascii="仿宋_GB2312" w:eastAsia="仿宋_GB2312" w:hAnsi="Times New Roman"/>
          <w:sz w:val="24"/>
        </w:rPr>
        <w:t xml:space="preserve">    </w:t>
      </w:r>
      <w:r>
        <w:rPr>
          <w:rFonts w:ascii="仿宋_GB2312" w:eastAsia="仿宋_GB2312" w:hAnsi="Times New Roman" w:hint="eastAsia"/>
          <w:sz w:val="24"/>
        </w:rPr>
        <w:t>月</w:t>
      </w:r>
      <w:r>
        <w:rPr>
          <w:rFonts w:ascii="仿宋_GB2312" w:eastAsia="仿宋_GB2312" w:hAnsi="Times New Roman"/>
          <w:sz w:val="24"/>
        </w:rPr>
        <w:t xml:space="preserve">    </w:t>
      </w:r>
      <w:r>
        <w:rPr>
          <w:rFonts w:ascii="仿宋_GB2312" w:eastAsia="仿宋_GB2312" w:hAnsi="Times New Roman" w:hint="eastAsia"/>
          <w:sz w:val="24"/>
        </w:rPr>
        <w:t>日</w:t>
      </w:r>
      <w:r>
        <w:rPr>
          <w:rFonts w:ascii="仿宋_GB2312" w:eastAsia="仿宋_GB2312" w:hAnsi="Times New Roman"/>
          <w:sz w:val="24"/>
        </w:rPr>
        <w:t xml:space="preserve">    </w:t>
      </w:r>
    </w:p>
    <w:sectPr w:rsidR="00456C4E" w:rsidRPr="00CC34B0">
      <w:pgSz w:w="11906" w:h="16838"/>
      <w:pgMar w:top="872" w:right="1035" w:bottom="107" w:left="949"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76F07" w14:textId="77777777" w:rsidR="00AD711B" w:rsidRDefault="00AD711B">
      <w:pPr>
        <w:rPr>
          <w:rFonts w:hint="eastAsia"/>
        </w:rPr>
      </w:pPr>
      <w:r>
        <w:separator/>
      </w:r>
    </w:p>
  </w:endnote>
  <w:endnote w:type="continuationSeparator" w:id="0">
    <w:p w14:paraId="34F51B51" w14:textId="77777777" w:rsidR="00AD711B" w:rsidRDefault="00AD711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FC54B" w14:textId="77777777" w:rsidR="00AD711B" w:rsidRDefault="00AD711B">
      <w:pPr>
        <w:rPr>
          <w:rFonts w:hint="eastAsia"/>
        </w:rPr>
      </w:pPr>
      <w:r>
        <w:separator/>
      </w:r>
    </w:p>
  </w:footnote>
  <w:footnote w:type="continuationSeparator" w:id="0">
    <w:p w14:paraId="51EAF202" w14:textId="77777777" w:rsidR="00AD711B" w:rsidRDefault="00AD711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defaultTableStyle w:val="a"/>
  <w:displayHorizontalDrawingGridEvery w:val="0"/>
  <w:displayVerticalDrawingGridEvery w:val="2"/>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03BE"/>
    <w:rsid w:val="007E03BE"/>
    <w:rsid w:val="00AD711B"/>
    <w:rsid w:val="00FF4C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89AF62B"/>
  <w15:chartTrackingRefBased/>
  <w15:docId w15:val="{12464197-FA31-452F-BCDE-3138EF32E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Theme="minorEastAsia" w:hAnsi="宋体"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sz w:val="21"/>
    </w:rPr>
  </w:style>
  <w:style w:type="paragraph" w:styleId="1">
    <w:name w:val="heading 1"/>
    <w:next w:val="a"/>
    <w:qFormat/>
    <w:pPr>
      <w:wordWrap w:val="0"/>
      <w:spacing w:after="160"/>
      <w:jc w:val="both"/>
      <w:outlineLvl w:val="0"/>
    </w:pPr>
    <w:rPr>
      <w:sz w:val="28"/>
    </w:rPr>
  </w:style>
  <w:style w:type="paragraph" w:styleId="2">
    <w:name w:val="heading 2"/>
    <w:next w:val="a"/>
    <w:qFormat/>
    <w:pPr>
      <w:wordWrap w:val="0"/>
      <w:spacing w:after="160"/>
      <w:jc w:val="both"/>
      <w:outlineLvl w:val="1"/>
    </w:pPr>
    <w:rPr>
      <w:sz w:val="21"/>
    </w:rPr>
  </w:style>
  <w:style w:type="paragraph" w:styleId="3">
    <w:name w:val="heading 3"/>
    <w:next w:val="a"/>
    <w:qFormat/>
    <w:pPr>
      <w:wordWrap w:val="0"/>
      <w:spacing w:after="160"/>
      <w:ind w:left="1400" w:hanging="400"/>
      <w:jc w:val="both"/>
      <w:outlineLvl w:val="2"/>
    </w:pPr>
    <w:rPr>
      <w:sz w:val="21"/>
    </w:rPr>
  </w:style>
  <w:style w:type="paragraph" w:styleId="4">
    <w:name w:val="heading 4"/>
    <w:next w:val="a"/>
    <w:qFormat/>
    <w:pPr>
      <w:wordWrap w:val="0"/>
      <w:spacing w:after="160"/>
      <w:ind w:left="1600" w:hanging="400"/>
      <w:jc w:val="both"/>
      <w:outlineLvl w:val="3"/>
    </w:pPr>
    <w:rPr>
      <w:b/>
      <w:sz w:val="21"/>
    </w:rPr>
  </w:style>
  <w:style w:type="paragraph" w:styleId="5">
    <w:name w:val="heading 5"/>
    <w:next w:val="a"/>
    <w:qFormat/>
    <w:pPr>
      <w:wordWrap w:val="0"/>
      <w:spacing w:after="160"/>
      <w:ind w:left="1800" w:hanging="400"/>
      <w:jc w:val="both"/>
      <w:outlineLvl w:val="4"/>
    </w:pPr>
    <w:rPr>
      <w:sz w:val="21"/>
    </w:rPr>
  </w:style>
  <w:style w:type="paragraph" w:styleId="6">
    <w:name w:val="heading 6"/>
    <w:next w:val="a"/>
    <w:qFormat/>
    <w:pPr>
      <w:wordWrap w:val="0"/>
      <w:spacing w:after="160"/>
      <w:ind w:left="2000" w:hanging="400"/>
      <w:jc w:val="both"/>
      <w:outlineLvl w:val="5"/>
    </w:pPr>
    <w:rPr>
      <w:b/>
      <w:sz w:val="21"/>
    </w:rPr>
  </w:style>
  <w:style w:type="paragraph" w:styleId="7">
    <w:name w:val="heading 7"/>
    <w:next w:val="a"/>
    <w:qFormat/>
    <w:pPr>
      <w:wordWrap w:val="0"/>
      <w:spacing w:after="160"/>
      <w:ind w:left="2200" w:hanging="400"/>
      <w:jc w:val="both"/>
      <w:outlineLvl w:val="6"/>
    </w:pPr>
    <w:rPr>
      <w:sz w:val="21"/>
    </w:rPr>
  </w:style>
  <w:style w:type="paragraph" w:styleId="8">
    <w:name w:val="heading 8"/>
    <w:next w:val="a"/>
    <w:qFormat/>
    <w:pPr>
      <w:wordWrap w:val="0"/>
      <w:spacing w:after="160"/>
      <w:ind w:left="2400" w:hanging="400"/>
      <w:jc w:val="both"/>
      <w:outlineLvl w:val="7"/>
    </w:pPr>
    <w:rPr>
      <w:sz w:val="21"/>
    </w:rPr>
  </w:style>
  <w:style w:type="paragraph" w:styleId="9">
    <w:name w:val="heading 9"/>
    <w:next w:val="a"/>
    <w:qFormat/>
    <w:pPr>
      <w:wordWrap w:val="0"/>
      <w:spacing w:after="160"/>
      <w:ind w:left="2600" w:hanging="400"/>
      <w:jc w:val="both"/>
      <w:outlineLvl w:val="8"/>
    </w:pPr>
    <w:rPr>
      <w:sz w:val="21"/>
    </w:rPr>
  </w:style>
  <w:style w:type="character" w:default="1" w:styleId="a0">
    <w:name w:val="Default Paragraph Font"/>
    <w:semiHidden/>
    <w:rPr>
      <w:vanish w:val="0"/>
      <w:sz w:val="20"/>
    </w:rPr>
  </w:style>
  <w:style w:type="table" w:default="1" w:styleId="a1">
    <w:name w:val="Normal Table"/>
    <w:semiHidden/>
    <w:tblPr>
      <w:tblCellMar>
        <w:top w:w="0" w:type="dxa"/>
        <w:left w:w="108" w:type="dxa"/>
        <w:bottom w:w="0" w:type="dxa"/>
        <w:right w:w="108" w:type="dxa"/>
      </w:tblCellMar>
    </w:tblPr>
  </w:style>
  <w:style w:type="numbering" w:default="1" w:styleId="a2">
    <w:name w:val="No List"/>
    <w:semiHidden/>
  </w:style>
  <w:style w:type="paragraph" w:styleId="a3">
    <w:name w:val="Subtitle"/>
    <w:next w:val="a"/>
    <w:qFormat/>
    <w:pPr>
      <w:wordWrap w:val="0"/>
      <w:spacing w:after="60"/>
      <w:jc w:val="center"/>
    </w:pPr>
    <w:rPr>
      <w:sz w:val="24"/>
    </w:rPr>
  </w:style>
  <w:style w:type="character" w:styleId="a4">
    <w:name w:val="Subtle Emphasis"/>
    <w:qFormat/>
    <w:rPr>
      <w:i/>
      <w:color w:val="404040"/>
      <w:sz w:val="21"/>
    </w:rPr>
  </w:style>
  <w:style w:type="character" w:styleId="a5">
    <w:name w:val="Emphasis"/>
    <w:qFormat/>
    <w:rPr>
      <w:i/>
      <w:vanish w:val="0"/>
      <w:sz w:val="20"/>
    </w:rPr>
  </w:style>
  <w:style w:type="character" w:styleId="a6">
    <w:name w:val="Intense Emphasis"/>
    <w:qFormat/>
    <w:rPr>
      <w:i/>
      <w:color w:val="5B9BD5"/>
      <w:sz w:val="21"/>
    </w:rPr>
  </w:style>
  <w:style w:type="character" w:styleId="a7">
    <w:name w:val="Strong"/>
    <w:qFormat/>
    <w:rPr>
      <w:b/>
      <w:vanish w:val="0"/>
      <w:sz w:val="20"/>
    </w:rPr>
  </w:style>
  <w:style w:type="paragraph" w:styleId="a8">
    <w:name w:val="Quote"/>
    <w:next w:val="a"/>
    <w:qFormat/>
    <w:pPr>
      <w:wordWrap w:val="0"/>
      <w:spacing w:before="200" w:after="160"/>
      <w:ind w:left="864" w:right="864"/>
      <w:jc w:val="center"/>
    </w:pPr>
    <w:rPr>
      <w:i/>
      <w:color w:val="404040"/>
      <w:sz w:val="21"/>
    </w:rPr>
  </w:style>
  <w:style w:type="paragraph" w:styleId="a9">
    <w:name w:val="Intense Quote"/>
    <w:next w:val="a"/>
    <w:qFormat/>
    <w:pPr>
      <w:wordWrap w:val="0"/>
      <w:spacing w:before="360" w:after="360"/>
      <w:ind w:left="950" w:right="950"/>
      <w:jc w:val="center"/>
    </w:pPr>
    <w:rPr>
      <w:i/>
      <w:color w:val="5B9BD5"/>
      <w:sz w:val="21"/>
    </w:rPr>
  </w:style>
  <w:style w:type="character" w:styleId="aa">
    <w:name w:val="Subtle Reference"/>
    <w:qFormat/>
    <w:rPr>
      <w:color w:val="5A5A5A"/>
      <w:sz w:val="21"/>
    </w:rPr>
  </w:style>
  <w:style w:type="character" w:styleId="ab">
    <w:name w:val="Intense Reference"/>
    <w:qFormat/>
    <w:rPr>
      <w:b/>
      <w:color w:val="5B9BD5"/>
      <w:sz w:val="21"/>
    </w:rPr>
  </w:style>
  <w:style w:type="character" w:styleId="ac">
    <w:name w:val="Book Title"/>
    <w:qFormat/>
    <w:rPr>
      <w:b/>
      <w:i/>
      <w:sz w:val="21"/>
    </w:rPr>
  </w:style>
  <w:style w:type="paragraph" w:styleId="ad">
    <w:name w:val="List Paragraph"/>
    <w:next w:val="a"/>
    <w:qFormat/>
    <w:pPr>
      <w:wordWrap w:val="0"/>
      <w:ind w:left="850"/>
      <w:jc w:val="both"/>
    </w:pPr>
    <w:rPr>
      <w:sz w:val="21"/>
    </w:rPr>
  </w:style>
  <w:style w:type="paragraph" w:styleId="TOC">
    <w:name w:val="TOC Heading"/>
    <w:next w:val="a"/>
    <w:qFormat/>
    <w:pPr>
      <w:wordWrap w:val="0"/>
    </w:pPr>
    <w:rPr>
      <w:color w:val="2E74B5"/>
      <w:sz w:val="32"/>
    </w:rPr>
  </w:style>
  <w:style w:type="paragraph" w:styleId="TOC2">
    <w:name w:val="toc 2"/>
    <w:next w:val="a"/>
    <w:pPr>
      <w:wordWrap w:val="0"/>
      <w:jc w:val="both"/>
    </w:pPr>
    <w:rPr>
      <w:sz w:val="21"/>
    </w:rPr>
  </w:style>
  <w:style w:type="paragraph" w:styleId="TOC3">
    <w:name w:val="toc 3"/>
    <w:next w:val="a"/>
    <w:pPr>
      <w:wordWrap w:val="0"/>
      <w:ind w:left="425"/>
      <w:jc w:val="both"/>
    </w:pPr>
    <w:rPr>
      <w:sz w:val="21"/>
    </w:rPr>
  </w:style>
  <w:style w:type="paragraph" w:styleId="TOC4">
    <w:name w:val="toc 4"/>
    <w:next w:val="a"/>
    <w:pPr>
      <w:wordWrap w:val="0"/>
      <w:ind w:left="850"/>
      <w:jc w:val="both"/>
    </w:pPr>
    <w:rPr>
      <w:sz w:val="21"/>
    </w:rPr>
  </w:style>
  <w:style w:type="paragraph" w:styleId="TOC5">
    <w:name w:val="toc 5"/>
    <w:next w:val="a"/>
    <w:pPr>
      <w:wordWrap w:val="0"/>
      <w:ind w:left="1275"/>
      <w:jc w:val="both"/>
    </w:pPr>
    <w:rPr>
      <w:sz w:val="21"/>
    </w:rPr>
  </w:style>
  <w:style w:type="paragraph" w:styleId="TOC6">
    <w:name w:val="toc 6"/>
    <w:next w:val="a"/>
    <w:pPr>
      <w:wordWrap w:val="0"/>
      <w:ind w:left="1700"/>
      <w:jc w:val="both"/>
    </w:pPr>
    <w:rPr>
      <w:sz w:val="21"/>
    </w:rPr>
  </w:style>
  <w:style w:type="paragraph" w:styleId="TOC7">
    <w:name w:val="toc 7"/>
    <w:next w:val="a"/>
    <w:pPr>
      <w:wordWrap w:val="0"/>
      <w:ind w:left="2125"/>
      <w:jc w:val="both"/>
    </w:pPr>
    <w:rPr>
      <w:sz w:val="21"/>
    </w:rPr>
  </w:style>
  <w:style w:type="paragraph" w:styleId="TOC8">
    <w:name w:val="toc 8"/>
    <w:next w:val="a"/>
    <w:pPr>
      <w:wordWrap w:val="0"/>
      <w:ind w:left="2550"/>
      <w:jc w:val="both"/>
    </w:pPr>
    <w:rPr>
      <w:sz w:val="21"/>
    </w:rPr>
  </w:style>
  <w:style w:type="paragraph" w:styleId="TOC9">
    <w:name w:val="toc 9"/>
    <w:next w:val="a"/>
    <w:pPr>
      <w:wordWrap w:val="0"/>
      <w:ind w:left="2975"/>
      <w:jc w:val="both"/>
    </w:pPr>
    <w:rPr>
      <w:sz w:val="21"/>
    </w:rPr>
  </w:style>
  <w:style w:type="paragraph" w:styleId="ae">
    <w:name w:val="Normal Indent"/>
    <w:next w:val="a"/>
    <w:pPr>
      <w:wordWrap w:val="0"/>
      <w:ind w:left="3400"/>
      <w:jc w:val="both"/>
    </w:pPr>
    <w:rPr>
      <w:sz w:val="21"/>
    </w:rPr>
  </w:style>
  <w:style w:type="character" w:customStyle="1" w:styleId="10">
    <w:name w:val="不明显强调1"/>
    <w:rPr>
      <w:i/>
      <w:vanish w:val="0"/>
      <w:sz w:val="20"/>
    </w:rPr>
  </w:style>
  <w:style w:type="character" w:customStyle="1" w:styleId="11">
    <w:name w:val="明显强调1"/>
    <w:rPr>
      <w:i/>
      <w:vanish w:val="0"/>
      <w:sz w:val="20"/>
    </w:rPr>
  </w:style>
  <w:style w:type="paragraph" w:styleId="-1">
    <w:name w:val="Colorful Grid Accent 1"/>
    <w:next w:val="a"/>
    <w:pPr>
      <w:wordWrap w:val="0"/>
      <w:spacing w:before="200" w:after="160"/>
      <w:ind w:left="864" w:right="864"/>
      <w:jc w:val="center"/>
    </w:pPr>
    <w:rPr>
      <w:i/>
      <w:sz w:val="21"/>
    </w:rPr>
  </w:style>
  <w:style w:type="paragraph" w:styleId="-2">
    <w:name w:val="Light Shading Accent 2"/>
    <w:next w:val="a"/>
    <w:pPr>
      <w:wordWrap w:val="0"/>
      <w:spacing w:before="360" w:after="360"/>
      <w:ind w:left="950" w:right="950"/>
      <w:jc w:val="center"/>
    </w:pPr>
    <w:rPr>
      <w:i/>
      <w:sz w:val="21"/>
    </w:rPr>
  </w:style>
  <w:style w:type="character" w:customStyle="1" w:styleId="12">
    <w:name w:val="不明显参考1"/>
    <w:rPr>
      <w:vanish w:val="0"/>
      <w:sz w:val="20"/>
    </w:rPr>
  </w:style>
  <w:style w:type="character" w:customStyle="1" w:styleId="13">
    <w:name w:val="明显参考1"/>
    <w:rPr>
      <w:b/>
      <w:vanish w:val="0"/>
      <w:sz w:val="20"/>
    </w:rPr>
  </w:style>
  <w:style w:type="character" w:customStyle="1" w:styleId="14">
    <w:name w:val="书籍标题1"/>
    <w:rPr>
      <w:b/>
      <w:i/>
      <w:vanish w:val="0"/>
      <w:sz w:val="20"/>
    </w:rPr>
  </w:style>
  <w:style w:type="paragraph" w:styleId="-10">
    <w:name w:val="Colorful List Accent 1"/>
    <w:next w:val="a"/>
    <w:pPr>
      <w:wordWrap w:val="0"/>
      <w:ind w:left="850"/>
      <w:jc w:val="both"/>
    </w:pPr>
    <w:rPr>
      <w:sz w:val="21"/>
    </w:rPr>
  </w:style>
  <w:style w:type="paragraph" w:customStyle="1" w:styleId="TOC60">
    <w:name w:val="TOC 标题6"/>
    <w:next w:val="a"/>
    <w:pPr>
      <w:wordWrap w:val="0"/>
    </w:pPr>
    <w:rPr>
      <w:sz w:val="32"/>
    </w:rPr>
  </w:style>
  <w:style w:type="paragraph" w:styleId="TOC20">
    <w:name w:val="toc 2"/>
    <w:next w:val="a"/>
    <w:pPr>
      <w:wordWrap w:val="0"/>
      <w:jc w:val="both"/>
    </w:pPr>
    <w:rPr>
      <w:sz w:val="21"/>
    </w:rPr>
  </w:style>
  <w:style w:type="paragraph" w:styleId="TOC30">
    <w:name w:val="toc 3"/>
    <w:next w:val="a"/>
    <w:pPr>
      <w:wordWrap w:val="0"/>
      <w:ind w:left="425"/>
      <w:jc w:val="both"/>
    </w:pPr>
    <w:rPr>
      <w:sz w:val="21"/>
    </w:rPr>
  </w:style>
  <w:style w:type="paragraph" w:styleId="TOC40">
    <w:name w:val="toc 4"/>
    <w:next w:val="a"/>
    <w:pPr>
      <w:wordWrap w:val="0"/>
      <w:ind w:left="850"/>
      <w:jc w:val="both"/>
    </w:pPr>
    <w:rPr>
      <w:sz w:val="21"/>
    </w:rPr>
  </w:style>
  <w:style w:type="paragraph" w:styleId="TOC50">
    <w:name w:val="toc 5"/>
    <w:next w:val="a"/>
    <w:pPr>
      <w:wordWrap w:val="0"/>
      <w:ind w:left="1275"/>
      <w:jc w:val="both"/>
    </w:pPr>
    <w:rPr>
      <w:sz w:val="21"/>
    </w:rPr>
  </w:style>
  <w:style w:type="paragraph" w:styleId="TOC61">
    <w:name w:val="toc 6"/>
    <w:next w:val="a"/>
    <w:pPr>
      <w:wordWrap w:val="0"/>
      <w:ind w:left="1700"/>
      <w:jc w:val="both"/>
    </w:pPr>
    <w:rPr>
      <w:sz w:val="21"/>
    </w:rPr>
  </w:style>
  <w:style w:type="paragraph" w:styleId="TOC70">
    <w:name w:val="toc 7"/>
    <w:next w:val="a"/>
    <w:pPr>
      <w:wordWrap w:val="0"/>
      <w:ind w:left="2125"/>
      <w:jc w:val="both"/>
    </w:pPr>
    <w:rPr>
      <w:sz w:val="21"/>
    </w:rPr>
  </w:style>
  <w:style w:type="paragraph" w:styleId="TOC80">
    <w:name w:val="toc 8"/>
    <w:next w:val="a"/>
    <w:pPr>
      <w:wordWrap w:val="0"/>
      <w:ind w:left="2550"/>
      <w:jc w:val="both"/>
    </w:pPr>
    <w:rPr>
      <w:sz w:val="21"/>
    </w:rPr>
  </w:style>
  <w:style w:type="paragraph" w:styleId="TOC90">
    <w:name w:val="toc 9"/>
    <w:next w:val="a"/>
    <w:pPr>
      <w:wordWrap w:val="0"/>
      <w:ind w:left="2975"/>
      <w:jc w:val="both"/>
    </w:pPr>
    <w:rPr>
      <w:sz w:val="21"/>
    </w:rPr>
  </w:style>
  <w:style w:type="paragraph" w:styleId="af">
    <w:name w:val="Normal Indent"/>
    <w:next w:val="a"/>
    <w:pPr>
      <w:wordWrap w:val="0"/>
      <w:ind w:left="3400"/>
      <w:jc w:val="both"/>
    </w:pPr>
    <w:rPr>
      <w:sz w:val="21"/>
    </w:rPr>
  </w:style>
  <w:style w:type="paragraph" w:customStyle="1" w:styleId="TOC51">
    <w:name w:val="TOC 标题5"/>
    <w:next w:val="a"/>
    <w:pPr>
      <w:wordWrap w:val="0"/>
    </w:pPr>
    <w:rPr>
      <w:sz w:val="32"/>
    </w:rPr>
  </w:style>
  <w:style w:type="paragraph" w:styleId="TOC21">
    <w:name w:val="toc 2"/>
    <w:next w:val="a"/>
    <w:pPr>
      <w:wordWrap w:val="0"/>
      <w:jc w:val="both"/>
    </w:pPr>
    <w:rPr>
      <w:sz w:val="21"/>
    </w:rPr>
  </w:style>
  <w:style w:type="paragraph" w:styleId="TOC31">
    <w:name w:val="toc 3"/>
    <w:next w:val="a"/>
    <w:pPr>
      <w:wordWrap w:val="0"/>
      <w:ind w:left="425"/>
      <w:jc w:val="both"/>
    </w:pPr>
    <w:rPr>
      <w:sz w:val="21"/>
    </w:rPr>
  </w:style>
  <w:style w:type="paragraph" w:styleId="TOC41">
    <w:name w:val="toc 4"/>
    <w:next w:val="a"/>
    <w:pPr>
      <w:wordWrap w:val="0"/>
      <w:ind w:left="850"/>
      <w:jc w:val="both"/>
    </w:pPr>
    <w:rPr>
      <w:sz w:val="21"/>
    </w:rPr>
  </w:style>
  <w:style w:type="paragraph" w:styleId="TOC52">
    <w:name w:val="toc 5"/>
    <w:next w:val="a"/>
    <w:pPr>
      <w:wordWrap w:val="0"/>
      <w:ind w:left="1275"/>
      <w:jc w:val="both"/>
    </w:pPr>
    <w:rPr>
      <w:sz w:val="21"/>
    </w:rPr>
  </w:style>
  <w:style w:type="paragraph" w:styleId="TOC62">
    <w:name w:val="toc 6"/>
    <w:next w:val="a"/>
    <w:pPr>
      <w:wordWrap w:val="0"/>
      <w:ind w:left="1700"/>
      <w:jc w:val="both"/>
    </w:pPr>
    <w:rPr>
      <w:sz w:val="21"/>
    </w:rPr>
  </w:style>
  <w:style w:type="paragraph" w:styleId="TOC71">
    <w:name w:val="toc 7"/>
    <w:next w:val="a"/>
    <w:pPr>
      <w:wordWrap w:val="0"/>
      <w:ind w:left="2125"/>
      <w:jc w:val="both"/>
    </w:pPr>
    <w:rPr>
      <w:sz w:val="21"/>
    </w:rPr>
  </w:style>
  <w:style w:type="paragraph" w:styleId="TOC81">
    <w:name w:val="toc 8"/>
    <w:next w:val="a"/>
    <w:pPr>
      <w:wordWrap w:val="0"/>
      <w:ind w:left="2550"/>
      <w:jc w:val="both"/>
    </w:pPr>
    <w:rPr>
      <w:sz w:val="21"/>
    </w:rPr>
  </w:style>
  <w:style w:type="paragraph" w:styleId="TOC91">
    <w:name w:val="toc 9"/>
    <w:next w:val="a"/>
    <w:pPr>
      <w:wordWrap w:val="0"/>
      <w:ind w:left="2975"/>
      <w:jc w:val="both"/>
    </w:pPr>
    <w:rPr>
      <w:sz w:val="21"/>
    </w:rPr>
  </w:style>
  <w:style w:type="paragraph" w:styleId="af0">
    <w:name w:val="Normal Indent"/>
    <w:next w:val="a"/>
    <w:pPr>
      <w:wordWrap w:val="0"/>
      <w:ind w:left="3400"/>
      <w:jc w:val="both"/>
    </w:pPr>
    <w:rPr>
      <w:sz w:val="21"/>
    </w:rPr>
  </w:style>
  <w:style w:type="paragraph" w:customStyle="1" w:styleId="TOC42">
    <w:name w:val="TOC 标题4"/>
    <w:next w:val="a"/>
    <w:pPr>
      <w:wordWrap w:val="0"/>
    </w:pPr>
    <w:rPr>
      <w:sz w:val="32"/>
    </w:rPr>
  </w:style>
  <w:style w:type="paragraph" w:styleId="TOC22">
    <w:name w:val="toc 2"/>
    <w:next w:val="a"/>
    <w:pPr>
      <w:wordWrap w:val="0"/>
      <w:jc w:val="both"/>
    </w:pPr>
    <w:rPr>
      <w:sz w:val="21"/>
    </w:rPr>
  </w:style>
  <w:style w:type="paragraph" w:styleId="TOC32">
    <w:name w:val="toc 3"/>
    <w:next w:val="a"/>
    <w:pPr>
      <w:wordWrap w:val="0"/>
      <w:ind w:left="425"/>
      <w:jc w:val="both"/>
    </w:pPr>
    <w:rPr>
      <w:sz w:val="21"/>
    </w:rPr>
  </w:style>
  <w:style w:type="paragraph" w:styleId="TOC43">
    <w:name w:val="toc 4"/>
    <w:next w:val="a"/>
    <w:pPr>
      <w:wordWrap w:val="0"/>
      <w:ind w:left="850"/>
      <w:jc w:val="both"/>
    </w:pPr>
    <w:rPr>
      <w:sz w:val="21"/>
    </w:rPr>
  </w:style>
  <w:style w:type="paragraph" w:styleId="TOC53">
    <w:name w:val="toc 5"/>
    <w:next w:val="a"/>
    <w:pPr>
      <w:wordWrap w:val="0"/>
      <w:ind w:left="1275"/>
      <w:jc w:val="both"/>
    </w:pPr>
    <w:rPr>
      <w:sz w:val="21"/>
    </w:rPr>
  </w:style>
  <w:style w:type="paragraph" w:styleId="TOC63">
    <w:name w:val="toc 6"/>
    <w:next w:val="a"/>
    <w:pPr>
      <w:wordWrap w:val="0"/>
      <w:ind w:left="1700"/>
      <w:jc w:val="both"/>
    </w:pPr>
    <w:rPr>
      <w:sz w:val="21"/>
    </w:rPr>
  </w:style>
  <w:style w:type="paragraph" w:styleId="TOC72">
    <w:name w:val="toc 7"/>
    <w:next w:val="a"/>
    <w:pPr>
      <w:wordWrap w:val="0"/>
      <w:ind w:left="2125"/>
      <w:jc w:val="both"/>
    </w:pPr>
    <w:rPr>
      <w:sz w:val="21"/>
    </w:rPr>
  </w:style>
  <w:style w:type="paragraph" w:styleId="TOC82">
    <w:name w:val="toc 8"/>
    <w:next w:val="a"/>
    <w:pPr>
      <w:wordWrap w:val="0"/>
      <w:ind w:left="2550"/>
      <w:jc w:val="both"/>
    </w:pPr>
    <w:rPr>
      <w:sz w:val="21"/>
    </w:rPr>
  </w:style>
  <w:style w:type="paragraph" w:styleId="TOC92">
    <w:name w:val="toc 9"/>
    <w:next w:val="a"/>
    <w:pPr>
      <w:wordWrap w:val="0"/>
      <w:ind w:left="2975"/>
      <w:jc w:val="both"/>
    </w:pPr>
    <w:rPr>
      <w:sz w:val="21"/>
    </w:rPr>
  </w:style>
  <w:style w:type="paragraph" w:styleId="af1">
    <w:name w:val="Normal Indent"/>
    <w:next w:val="a"/>
    <w:pPr>
      <w:wordWrap w:val="0"/>
      <w:ind w:left="3400"/>
      <w:jc w:val="both"/>
    </w:pPr>
    <w:rPr>
      <w:sz w:val="21"/>
    </w:rPr>
  </w:style>
  <w:style w:type="paragraph" w:customStyle="1" w:styleId="TOC33">
    <w:name w:val="TOC 标题3"/>
    <w:next w:val="a"/>
    <w:pPr>
      <w:wordWrap w:val="0"/>
    </w:pPr>
    <w:rPr>
      <w:sz w:val="32"/>
    </w:rPr>
  </w:style>
  <w:style w:type="paragraph" w:styleId="TOC23">
    <w:name w:val="toc 2"/>
    <w:next w:val="a"/>
    <w:pPr>
      <w:wordWrap w:val="0"/>
      <w:jc w:val="both"/>
    </w:pPr>
    <w:rPr>
      <w:sz w:val="21"/>
    </w:rPr>
  </w:style>
  <w:style w:type="paragraph" w:styleId="TOC34">
    <w:name w:val="toc 3"/>
    <w:next w:val="a"/>
    <w:pPr>
      <w:wordWrap w:val="0"/>
      <w:ind w:left="425"/>
      <w:jc w:val="both"/>
    </w:pPr>
    <w:rPr>
      <w:sz w:val="21"/>
    </w:rPr>
  </w:style>
  <w:style w:type="paragraph" w:styleId="TOC44">
    <w:name w:val="toc 4"/>
    <w:next w:val="a"/>
    <w:pPr>
      <w:wordWrap w:val="0"/>
      <w:ind w:left="850"/>
      <w:jc w:val="both"/>
    </w:pPr>
    <w:rPr>
      <w:sz w:val="21"/>
    </w:rPr>
  </w:style>
  <w:style w:type="paragraph" w:styleId="TOC54">
    <w:name w:val="toc 5"/>
    <w:next w:val="a"/>
    <w:pPr>
      <w:wordWrap w:val="0"/>
      <w:ind w:left="1275"/>
      <w:jc w:val="both"/>
    </w:pPr>
    <w:rPr>
      <w:sz w:val="21"/>
    </w:rPr>
  </w:style>
  <w:style w:type="paragraph" w:styleId="TOC64">
    <w:name w:val="toc 6"/>
    <w:next w:val="a"/>
    <w:pPr>
      <w:wordWrap w:val="0"/>
      <w:ind w:left="1700"/>
      <w:jc w:val="both"/>
    </w:pPr>
    <w:rPr>
      <w:sz w:val="21"/>
    </w:rPr>
  </w:style>
  <w:style w:type="paragraph" w:styleId="TOC73">
    <w:name w:val="toc 7"/>
    <w:next w:val="a"/>
    <w:pPr>
      <w:wordWrap w:val="0"/>
      <w:ind w:left="2125"/>
      <w:jc w:val="both"/>
    </w:pPr>
    <w:rPr>
      <w:sz w:val="21"/>
    </w:rPr>
  </w:style>
  <w:style w:type="paragraph" w:styleId="TOC83">
    <w:name w:val="toc 8"/>
    <w:next w:val="a"/>
    <w:pPr>
      <w:wordWrap w:val="0"/>
      <w:ind w:left="2550"/>
      <w:jc w:val="both"/>
    </w:pPr>
    <w:rPr>
      <w:sz w:val="21"/>
    </w:rPr>
  </w:style>
  <w:style w:type="paragraph" w:styleId="TOC93">
    <w:name w:val="toc 9"/>
    <w:next w:val="a"/>
    <w:pPr>
      <w:wordWrap w:val="0"/>
      <w:ind w:left="2975"/>
      <w:jc w:val="both"/>
    </w:pPr>
    <w:rPr>
      <w:sz w:val="21"/>
    </w:rPr>
  </w:style>
  <w:style w:type="paragraph" w:styleId="af2">
    <w:name w:val="Normal Indent"/>
    <w:next w:val="a"/>
    <w:pPr>
      <w:wordWrap w:val="0"/>
      <w:ind w:left="3400"/>
      <w:jc w:val="both"/>
    </w:pPr>
    <w:rPr>
      <w:sz w:val="21"/>
    </w:rPr>
  </w:style>
  <w:style w:type="paragraph" w:customStyle="1" w:styleId="TOC24">
    <w:name w:val="TOC 标题2"/>
    <w:next w:val="a"/>
    <w:pPr>
      <w:wordWrap w:val="0"/>
    </w:pPr>
    <w:rPr>
      <w:sz w:val="32"/>
    </w:rPr>
  </w:style>
  <w:style w:type="paragraph" w:styleId="TOC25">
    <w:name w:val="toc 2"/>
    <w:next w:val="a"/>
    <w:pPr>
      <w:wordWrap w:val="0"/>
      <w:jc w:val="both"/>
    </w:pPr>
    <w:rPr>
      <w:sz w:val="21"/>
    </w:rPr>
  </w:style>
  <w:style w:type="paragraph" w:styleId="TOC35">
    <w:name w:val="toc 3"/>
    <w:next w:val="a"/>
    <w:pPr>
      <w:wordWrap w:val="0"/>
      <w:ind w:left="425"/>
      <w:jc w:val="both"/>
    </w:pPr>
    <w:rPr>
      <w:sz w:val="21"/>
    </w:rPr>
  </w:style>
  <w:style w:type="paragraph" w:styleId="TOC45">
    <w:name w:val="toc 4"/>
    <w:next w:val="a"/>
    <w:pPr>
      <w:wordWrap w:val="0"/>
      <w:ind w:left="850"/>
      <w:jc w:val="both"/>
    </w:pPr>
    <w:rPr>
      <w:sz w:val="21"/>
    </w:rPr>
  </w:style>
  <w:style w:type="paragraph" w:styleId="TOC55">
    <w:name w:val="toc 5"/>
    <w:next w:val="a"/>
    <w:pPr>
      <w:wordWrap w:val="0"/>
      <w:ind w:left="1275"/>
      <w:jc w:val="both"/>
    </w:pPr>
    <w:rPr>
      <w:sz w:val="21"/>
    </w:rPr>
  </w:style>
  <w:style w:type="paragraph" w:styleId="TOC65">
    <w:name w:val="toc 6"/>
    <w:next w:val="a"/>
    <w:pPr>
      <w:wordWrap w:val="0"/>
      <w:ind w:left="1700"/>
      <w:jc w:val="both"/>
    </w:pPr>
    <w:rPr>
      <w:sz w:val="21"/>
    </w:rPr>
  </w:style>
  <w:style w:type="paragraph" w:styleId="TOC74">
    <w:name w:val="toc 7"/>
    <w:next w:val="a"/>
    <w:pPr>
      <w:wordWrap w:val="0"/>
      <w:ind w:left="2125"/>
      <w:jc w:val="both"/>
    </w:pPr>
    <w:rPr>
      <w:sz w:val="21"/>
    </w:rPr>
  </w:style>
  <w:style w:type="paragraph" w:styleId="TOC84">
    <w:name w:val="toc 8"/>
    <w:next w:val="a"/>
    <w:pPr>
      <w:wordWrap w:val="0"/>
      <w:ind w:left="2550"/>
      <w:jc w:val="both"/>
    </w:pPr>
    <w:rPr>
      <w:sz w:val="21"/>
    </w:rPr>
  </w:style>
  <w:style w:type="paragraph" w:styleId="TOC94">
    <w:name w:val="toc 9"/>
    <w:next w:val="a"/>
    <w:pPr>
      <w:wordWrap w:val="0"/>
      <w:ind w:left="2975"/>
      <w:jc w:val="both"/>
    </w:pPr>
    <w:rPr>
      <w:sz w:val="21"/>
    </w:rPr>
  </w:style>
  <w:style w:type="paragraph" w:styleId="af3">
    <w:name w:val="Normal Indent"/>
    <w:next w:val="a"/>
    <w:pPr>
      <w:wordWrap w:val="0"/>
      <w:ind w:left="3400"/>
      <w:jc w:val="both"/>
    </w:pPr>
    <w:rPr>
      <w:sz w:val="21"/>
    </w:rPr>
  </w:style>
  <w:style w:type="paragraph" w:customStyle="1" w:styleId="TOC1">
    <w:name w:val="TOC 标题1"/>
    <w:next w:val="a"/>
    <w:pPr>
      <w:wordWrap w:val="0"/>
    </w:pPr>
    <w:rPr>
      <w:sz w:val="32"/>
    </w:rPr>
  </w:style>
  <w:style w:type="paragraph" w:styleId="TOC26">
    <w:name w:val="toc 2"/>
    <w:next w:val="a"/>
    <w:pPr>
      <w:wordWrap w:val="0"/>
      <w:jc w:val="both"/>
    </w:pPr>
    <w:rPr>
      <w:sz w:val="21"/>
    </w:rPr>
  </w:style>
  <w:style w:type="paragraph" w:styleId="TOC36">
    <w:name w:val="toc 3"/>
    <w:next w:val="a"/>
    <w:pPr>
      <w:wordWrap w:val="0"/>
      <w:ind w:left="425"/>
      <w:jc w:val="both"/>
    </w:pPr>
    <w:rPr>
      <w:sz w:val="21"/>
    </w:rPr>
  </w:style>
  <w:style w:type="paragraph" w:styleId="TOC46">
    <w:name w:val="toc 4"/>
    <w:next w:val="a"/>
    <w:pPr>
      <w:wordWrap w:val="0"/>
      <w:ind w:left="850"/>
      <w:jc w:val="both"/>
    </w:pPr>
    <w:rPr>
      <w:sz w:val="21"/>
    </w:rPr>
  </w:style>
  <w:style w:type="paragraph" w:styleId="TOC56">
    <w:name w:val="toc 5"/>
    <w:next w:val="a"/>
    <w:pPr>
      <w:wordWrap w:val="0"/>
      <w:ind w:left="1275"/>
      <w:jc w:val="both"/>
    </w:pPr>
    <w:rPr>
      <w:sz w:val="21"/>
    </w:rPr>
  </w:style>
  <w:style w:type="paragraph" w:styleId="TOC66">
    <w:name w:val="toc 6"/>
    <w:next w:val="a"/>
    <w:pPr>
      <w:wordWrap w:val="0"/>
      <w:ind w:left="1700"/>
      <w:jc w:val="both"/>
    </w:pPr>
    <w:rPr>
      <w:sz w:val="21"/>
    </w:rPr>
  </w:style>
  <w:style w:type="paragraph" w:styleId="TOC75">
    <w:name w:val="toc 7"/>
    <w:next w:val="a"/>
    <w:pPr>
      <w:wordWrap w:val="0"/>
      <w:ind w:left="2125"/>
      <w:jc w:val="both"/>
    </w:pPr>
    <w:rPr>
      <w:sz w:val="21"/>
    </w:rPr>
  </w:style>
  <w:style w:type="paragraph" w:styleId="TOC85">
    <w:name w:val="toc 8"/>
    <w:next w:val="a"/>
    <w:pPr>
      <w:wordWrap w:val="0"/>
      <w:ind w:left="2550"/>
      <w:jc w:val="both"/>
    </w:pPr>
    <w:rPr>
      <w:sz w:val="21"/>
    </w:rPr>
  </w:style>
  <w:style w:type="paragraph" w:styleId="TOC95">
    <w:name w:val="toc 9"/>
    <w:next w:val="a"/>
    <w:pPr>
      <w:wordWrap w:val="0"/>
      <w:ind w:left="2975"/>
      <w:jc w:val="both"/>
    </w:pPr>
    <w:rPr>
      <w:sz w:val="21"/>
    </w:rPr>
  </w:style>
  <w:style w:type="paragraph" w:styleId="af4">
    <w:name w:val="Normal Indent"/>
    <w:next w:val="a"/>
    <w:pPr>
      <w:wordWrap w:val="0"/>
      <w:ind w:left="3400"/>
      <w:jc w:val="both"/>
    </w:pPr>
    <w:rPr>
      <w:sz w:val="21"/>
    </w:rPr>
  </w:style>
  <w:style w:type="character" w:customStyle="1" w:styleId="Char">
    <w:name w:val="页脚 Char"/>
    <w:rPr>
      <w:vanish w:val="0"/>
      <w:sz w:val="20"/>
    </w:rPr>
  </w:style>
  <w:style w:type="character" w:customStyle="1" w:styleId="Char0">
    <w:name w:val="页眉 Char"/>
    <w:rPr>
      <w:vanish w:val="0"/>
      <w:sz w:val="20"/>
    </w:rPr>
  </w:style>
  <w:style w:type="paragraph" w:styleId="af5">
    <w:name w:val="header"/>
    <w:basedOn w:val="a"/>
    <w:next w:val="a5"/>
    <w:pPr>
      <w:jc w:val="center"/>
    </w:pPr>
    <w:rPr>
      <w:sz w:val="18"/>
    </w:rPr>
  </w:style>
  <w:style w:type="paragraph" w:styleId="af6">
    <w:name w:val="footer"/>
    <w:basedOn w:val="a"/>
    <w:next w:val="a6"/>
    <w:rPr>
      <w:sz w:val="18"/>
    </w:rPr>
  </w:style>
  <w:style w:type="paragraph" w:styleId="af7">
    <w:name w:val="Balloon Text"/>
    <w:basedOn w:val="a"/>
    <w:next w:val="a7"/>
    <w:semiHidden/>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Words>
  <Characters>1054</Characters>
  <Application>Microsoft Office Word</Application>
  <DocSecurity>4</DocSecurity>
  <Lines>8</Lines>
  <Paragraphs>2</Paragraphs>
  <Notes>0</Note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dcterms:created xsi:type="dcterms:W3CDTF">2026-04-05T07:31:00Z</dcterms:created>
  <dcterms:modified xsi:type="dcterms:W3CDTF">2026-04-05T07:31:00Z</dcterms:modified>
</cp:coreProperties>
</file>