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BECE" w14:textId="77777777" w:rsidR="00C144EA" w:rsidRDefault="00C144EA">
      <w:pPr>
        <w:jc w:val="center"/>
        <w:rPr>
          <w:rFonts w:hint="eastAsia"/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内部股东对赌协议</w:t>
      </w:r>
    </w:p>
    <w:p w14:paraId="3868E650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甲方：</w:t>
      </w:r>
    </w:p>
    <w:p w14:paraId="2B58601C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身份证号：</w:t>
      </w:r>
    </w:p>
    <w:p w14:paraId="786BCBDD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乙方：</w:t>
      </w:r>
    </w:p>
    <w:p w14:paraId="5A78D83E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身份证号：</w:t>
      </w:r>
    </w:p>
    <w:p w14:paraId="690C9F35" w14:textId="77777777" w:rsidR="00C144EA" w:rsidRDefault="00C144EA">
      <w:pPr>
        <w:pStyle w:val="a3"/>
        <w:widowControl/>
        <w:numPr>
          <w:ilvl w:val="0"/>
          <w:numId w:val="1"/>
        </w:numPr>
        <w:shd w:val="clear" w:color="auto" w:fill="FFFFFF"/>
        <w:spacing w:before="150" w:beforeAutospacing="0" w:after="150" w:afterAutospacing="0"/>
        <w:ind w:firstLine="420"/>
        <w:rPr>
          <w:rFonts w:hint="eastAsia"/>
          <w:sz w:val="21"/>
          <w:szCs w:val="21"/>
        </w:rPr>
      </w:pPr>
      <w:r>
        <w:rPr>
          <w:rFonts w:ascii="Segoe UI" w:hAnsi="Segoe UI" w:cs="Segoe UI" w:hint="eastAsia"/>
          <w:color w:val="333333"/>
          <w:sz w:val="21"/>
          <w:szCs w:val="21"/>
          <w:shd w:val="clear" w:color="auto" w:fill="FFFFFF"/>
        </w:rPr>
        <w:t xml:space="preserve">    </w:t>
      </w:r>
      <w:r>
        <w:rPr>
          <w:rFonts w:ascii="Segoe UI" w:eastAsia="Segoe UI" w:hAnsi="Segoe UI" w:cs="Segoe UI"/>
          <w:color w:val="333333"/>
          <w:sz w:val="21"/>
          <w:szCs w:val="21"/>
          <w:shd w:val="clear" w:color="auto" w:fill="FFFFFF"/>
        </w:rPr>
        <w:t>有限公司（以下简称</w:t>
      </w:r>
      <w:r>
        <w:rPr>
          <w:rFonts w:ascii="Segoe UI" w:eastAsia="Segoe UI" w:hAnsi="Segoe UI" w:cs="Segoe UI"/>
          <w:color w:val="333333"/>
          <w:sz w:val="21"/>
          <w:szCs w:val="21"/>
          <w:shd w:val="clear" w:color="auto" w:fill="FFFFFF"/>
        </w:rPr>
        <w:t>“A</w:t>
      </w:r>
      <w:r>
        <w:rPr>
          <w:rFonts w:ascii="Segoe UI" w:eastAsia="Segoe UI" w:hAnsi="Segoe UI" w:cs="Segoe UI"/>
          <w:color w:val="333333"/>
          <w:sz w:val="21"/>
          <w:szCs w:val="21"/>
          <w:shd w:val="clear" w:color="auto" w:fill="FFFFFF"/>
        </w:rPr>
        <w:t>公司</w:t>
      </w:r>
      <w:r>
        <w:rPr>
          <w:rFonts w:ascii="Segoe UI" w:eastAsia="Segoe UI" w:hAnsi="Segoe UI" w:cs="Segoe UI"/>
          <w:color w:val="333333"/>
          <w:sz w:val="21"/>
          <w:szCs w:val="21"/>
          <w:shd w:val="clear" w:color="auto" w:fill="FFFFFF"/>
        </w:rPr>
        <w:t>”</w:t>
      </w:r>
      <w:r>
        <w:rPr>
          <w:rFonts w:ascii="Segoe UI" w:eastAsia="Segoe UI" w:hAnsi="Segoe UI" w:cs="Segoe UI"/>
          <w:color w:val="333333"/>
          <w:sz w:val="21"/>
          <w:szCs w:val="21"/>
          <w:shd w:val="clear" w:color="auto" w:fill="FFFFFF"/>
        </w:rPr>
        <w:t>）是家依中华人民共和国法律成立并合法存续的</w:t>
      </w:r>
      <w:r>
        <w:rPr>
          <w:rFonts w:ascii="Segoe UI" w:hAnsi="Segoe UI" w:cs="Segoe UI" w:hint="eastAsi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333333"/>
          <w:sz w:val="21"/>
          <w:szCs w:val="21"/>
          <w:shd w:val="clear" w:color="auto" w:fill="FFFFFF"/>
        </w:rPr>
        <w:t>有限</w:t>
      </w:r>
      <w:r>
        <w:rPr>
          <w:rFonts w:ascii="Segoe UI" w:hAnsi="Segoe UI" w:cs="Segoe UI" w:hint="eastAsia"/>
          <w:color w:val="333333"/>
          <w:sz w:val="21"/>
          <w:szCs w:val="21"/>
          <w:shd w:val="clear" w:color="auto" w:fill="FFFFFF"/>
        </w:rPr>
        <w:t>责任</w:t>
      </w:r>
      <w:r>
        <w:rPr>
          <w:rFonts w:ascii="Segoe UI" w:eastAsia="Segoe UI" w:hAnsi="Segoe UI" w:cs="Segoe UI"/>
          <w:color w:val="333333"/>
          <w:sz w:val="21"/>
          <w:szCs w:val="21"/>
          <w:shd w:val="clear" w:color="auto" w:fill="FFFFFF"/>
        </w:rPr>
        <w:t>公司，注册地在</w:t>
      </w:r>
      <w:r>
        <w:rPr>
          <w:rFonts w:ascii="Segoe UI" w:hAnsi="Segoe UI" w:cs="Segoe UI" w:hint="eastAsia"/>
          <w:color w:val="333333"/>
          <w:sz w:val="21"/>
          <w:szCs w:val="21"/>
          <w:shd w:val="clear" w:color="auto" w:fill="FFFFFF"/>
        </w:rPr>
        <w:t xml:space="preserve">           </w:t>
      </w:r>
      <w:r>
        <w:rPr>
          <w:rFonts w:ascii="Segoe UI" w:eastAsia="Segoe UI" w:hAnsi="Segoe UI" w:cs="Segoe UI"/>
          <w:color w:val="333333"/>
          <w:sz w:val="21"/>
          <w:szCs w:val="21"/>
          <w:shd w:val="clear" w:color="auto" w:fill="FFFFFF"/>
        </w:rPr>
        <w:t>，现登记注册资本为人民币</w:t>
      </w:r>
      <w:r>
        <w:rPr>
          <w:rFonts w:ascii="Segoe UI" w:hAnsi="Segoe UI" w:cs="Segoe UI" w:hint="eastAsia"/>
          <w:color w:val="333333"/>
          <w:sz w:val="21"/>
          <w:szCs w:val="21"/>
          <w:shd w:val="clear" w:color="auto" w:fill="FFFFFF"/>
        </w:rPr>
        <w:t xml:space="preserve">     </w:t>
      </w:r>
      <w:r>
        <w:rPr>
          <w:rFonts w:ascii="Segoe UI" w:eastAsia="Segoe UI" w:hAnsi="Segoe UI" w:cs="Segoe UI"/>
          <w:color w:val="333333"/>
          <w:sz w:val="21"/>
          <w:szCs w:val="21"/>
          <w:shd w:val="clear" w:color="auto" w:fill="FFFFFF"/>
        </w:rPr>
        <w:t>万元</w:t>
      </w:r>
      <w:r>
        <w:rPr>
          <w:rFonts w:ascii="Segoe UI" w:hAnsi="Segoe UI" w:cs="Segoe UI" w:hint="eastAsia"/>
          <w:color w:val="333333"/>
          <w:sz w:val="21"/>
          <w:szCs w:val="21"/>
          <w:shd w:val="clear" w:color="auto" w:fill="FFFFFF"/>
        </w:rPr>
        <w:t>。</w:t>
      </w:r>
    </w:p>
    <w:p w14:paraId="2444A88B" w14:textId="77777777" w:rsidR="00C144EA" w:rsidRDefault="00C144EA">
      <w:pPr>
        <w:pStyle w:val="a3"/>
        <w:widowControl/>
        <w:numPr>
          <w:ilvl w:val="0"/>
          <w:numId w:val="1"/>
        </w:numPr>
        <w:shd w:val="clear" w:color="auto" w:fill="FFFFFF"/>
        <w:spacing w:before="150" w:beforeAutospacing="0" w:after="150" w:afterAutospacing="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甲乙双方本着平等自愿</w:t>
      </w:r>
      <w:r>
        <w:rPr>
          <w:rFonts w:hint="eastAsia"/>
          <w:sz w:val="21"/>
          <w:szCs w:val="21"/>
        </w:rPr>
        <w:t>,</w:t>
      </w:r>
      <w:r>
        <w:rPr>
          <w:rFonts w:hint="eastAsia"/>
          <w:sz w:val="21"/>
          <w:szCs w:val="21"/>
        </w:rPr>
        <w:t>公平，公正的原则，在符合双方共同利益的前提下签订本协议。乙方通过在</w:t>
      </w: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公司任职</w:t>
      </w:r>
      <w:r>
        <w:rPr>
          <w:rFonts w:hint="eastAsia"/>
          <w:sz w:val="21"/>
          <w:szCs w:val="21"/>
        </w:rPr>
        <w:t xml:space="preserve">       </w:t>
      </w:r>
      <w:r>
        <w:rPr>
          <w:rFonts w:hint="eastAsia"/>
          <w:sz w:val="21"/>
          <w:szCs w:val="21"/>
        </w:rPr>
        <w:t>岗位的形式，全面负责</w:t>
      </w: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公司的</w:t>
      </w:r>
      <w:r>
        <w:rPr>
          <w:rFonts w:hint="eastAsia"/>
          <w:sz w:val="21"/>
          <w:szCs w:val="21"/>
        </w:rPr>
        <w:t xml:space="preserve">           </w:t>
      </w:r>
      <w:r>
        <w:rPr>
          <w:rFonts w:hint="eastAsia"/>
          <w:sz w:val="21"/>
          <w:szCs w:val="21"/>
        </w:rPr>
        <w:t>管理工作。以帮助</w:t>
      </w:r>
      <w:r>
        <w:rPr>
          <w:rFonts w:hint="eastAsia"/>
          <w:sz w:val="21"/>
          <w:szCs w:val="21"/>
        </w:rPr>
        <w:t>A</w:t>
      </w:r>
      <w:r>
        <w:rPr>
          <w:rFonts w:hint="eastAsia"/>
          <w:sz w:val="21"/>
          <w:szCs w:val="21"/>
        </w:rPr>
        <w:t>公司实现业绩提升。经双方友好协商，达成以下协议：</w:t>
      </w:r>
    </w:p>
    <w:p w14:paraId="7902B2BC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第一条：协议期限</w:t>
      </w:r>
    </w:p>
    <w:p w14:paraId="778FD91E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本协议为期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年。有效期自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日起至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日止。</w:t>
      </w:r>
    </w:p>
    <w:p w14:paraId="648959CB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第二条：乙方工作目标内容</w:t>
      </w:r>
    </w:p>
    <w:p w14:paraId="0446B15E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乙方的具体工作内容如下：</w:t>
      </w:r>
    </w:p>
    <w:p w14:paraId="270F16DA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年年度销售额目标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万元，利润目标</w:t>
      </w:r>
      <w:r>
        <w:rPr>
          <w:rFonts w:hint="eastAsia"/>
          <w:szCs w:val="21"/>
        </w:rPr>
        <w:t xml:space="preserve">     %</w:t>
      </w:r>
      <w:r>
        <w:rPr>
          <w:rFonts w:hint="eastAsia"/>
          <w:szCs w:val="21"/>
        </w:rPr>
        <w:t>。</w:t>
      </w:r>
    </w:p>
    <w:p w14:paraId="08EC696A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年年度销售额目标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万元，利润目标</w:t>
      </w:r>
      <w:r>
        <w:rPr>
          <w:rFonts w:hint="eastAsia"/>
          <w:szCs w:val="21"/>
        </w:rPr>
        <w:t xml:space="preserve">     %</w:t>
      </w:r>
      <w:r>
        <w:rPr>
          <w:rFonts w:hint="eastAsia"/>
          <w:szCs w:val="21"/>
        </w:rPr>
        <w:t>。</w:t>
      </w:r>
    </w:p>
    <w:p w14:paraId="7094AE2B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年年度销售额目标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万元，利润目标</w:t>
      </w:r>
      <w:r>
        <w:rPr>
          <w:rFonts w:hint="eastAsia"/>
          <w:szCs w:val="21"/>
        </w:rPr>
        <w:t xml:space="preserve">     %</w:t>
      </w:r>
      <w:r>
        <w:rPr>
          <w:rFonts w:hint="eastAsia"/>
          <w:szCs w:val="21"/>
        </w:rPr>
        <w:t>。</w:t>
      </w:r>
      <w:r>
        <w:rPr>
          <w:rFonts w:hint="eastAsia"/>
          <w:b/>
          <w:bCs/>
          <w:szCs w:val="21"/>
        </w:rPr>
        <w:t xml:space="preserve">    </w:t>
      </w:r>
    </w:p>
    <w:p w14:paraId="12EA9D56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第三条：乙方期权股份收益</w:t>
      </w:r>
    </w:p>
    <w:tbl>
      <w:tblPr>
        <w:tblStyle w:val="a4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704"/>
        <w:gridCol w:w="1704"/>
        <w:gridCol w:w="1704"/>
        <w:gridCol w:w="1705"/>
        <w:gridCol w:w="1705"/>
      </w:tblGrid>
      <w:tr w:rsidR="00000000" w14:paraId="690B7306" w14:textId="77777777">
        <w:tc>
          <w:tcPr>
            <w:tcW w:w="1704" w:type="dxa"/>
          </w:tcPr>
          <w:p w14:paraId="4DA2AD81" w14:textId="77777777" w:rsidR="00C144EA" w:rsidRDefault="00C144E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年度</w:t>
            </w:r>
          </w:p>
        </w:tc>
        <w:tc>
          <w:tcPr>
            <w:tcW w:w="1704" w:type="dxa"/>
          </w:tcPr>
          <w:p w14:paraId="74E70FB7" w14:textId="77777777" w:rsidR="00C144EA" w:rsidRDefault="00C144E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年</w:t>
            </w:r>
          </w:p>
        </w:tc>
        <w:tc>
          <w:tcPr>
            <w:tcW w:w="1704" w:type="dxa"/>
          </w:tcPr>
          <w:p w14:paraId="5F52E839" w14:textId="77777777" w:rsidR="00C144EA" w:rsidRDefault="00C144E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年</w:t>
            </w:r>
          </w:p>
        </w:tc>
        <w:tc>
          <w:tcPr>
            <w:tcW w:w="1705" w:type="dxa"/>
          </w:tcPr>
          <w:p w14:paraId="0AA3BF95" w14:textId="77777777" w:rsidR="00C144EA" w:rsidRDefault="00C144E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年</w:t>
            </w:r>
          </w:p>
        </w:tc>
        <w:tc>
          <w:tcPr>
            <w:tcW w:w="1705" w:type="dxa"/>
          </w:tcPr>
          <w:p w14:paraId="46F967AF" w14:textId="77777777" w:rsidR="00C144EA" w:rsidRDefault="00C144E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</w:p>
        </w:tc>
      </w:tr>
      <w:tr w:rsidR="00000000" w14:paraId="58B4B952" w14:textId="77777777">
        <w:tc>
          <w:tcPr>
            <w:tcW w:w="1704" w:type="dxa"/>
          </w:tcPr>
          <w:p w14:paraId="77488DD6" w14:textId="77777777" w:rsidR="00C144EA" w:rsidRDefault="00C144E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股份数</w:t>
            </w:r>
          </w:p>
        </w:tc>
        <w:tc>
          <w:tcPr>
            <w:tcW w:w="1704" w:type="dxa"/>
          </w:tcPr>
          <w:p w14:paraId="357630B8" w14:textId="77777777" w:rsidR="00C144EA" w:rsidRDefault="00C144EA">
            <w:pPr>
              <w:ind w:firstLineChars="400" w:firstLine="84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%</w:t>
            </w:r>
          </w:p>
        </w:tc>
        <w:tc>
          <w:tcPr>
            <w:tcW w:w="1704" w:type="dxa"/>
          </w:tcPr>
          <w:p w14:paraId="1237E4EE" w14:textId="77777777" w:rsidR="00C144EA" w:rsidRDefault="00C144E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%</w:t>
            </w:r>
          </w:p>
        </w:tc>
        <w:tc>
          <w:tcPr>
            <w:tcW w:w="1705" w:type="dxa"/>
          </w:tcPr>
          <w:p w14:paraId="05562906" w14:textId="77777777" w:rsidR="00C144EA" w:rsidRDefault="00C144E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%</w:t>
            </w:r>
          </w:p>
        </w:tc>
        <w:tc>
          <w:tcPr>
            <w:tcW w:w="1705" w:type="dxa"/>
          </w:tcPr>
          <w:p w14:paraId="55708540" w14:textId="77777777" w:rsidR="00C144EA" w:rsidRDefault="00C144E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%</w:t>
            </w:r>
          </w:p>
        </w:tc>
      </w:tr>
    </w:tbl>
    <w:p w14:paraId="28366D29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说明：</w:t>
      </w:r>
    </w:p>
    <w:p w14:paraId="4B0686B9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；乙方如实现年度目标，则可拿走年度的期权股份，待协议期满后甲方根据约定将乙方共计</w:t>
      </w:r>
      <w:r>
        <w:rPr>
          <w:rFonts w:hint="eastAsia"/>
          <w:szCs w:val="21"/>
        </w:rPr>
        <w:t xml:space="preserve">    %</w:t>
      </w:r>
      <w:r>
        <w:rPr>
          <w:rFonts w:hint="eastAsia"/>
          <w:szCs w:val="21"/>
        </w:rPr>
        <w:t>的期权股份转为正式注册股。</w:t>
      </w:r>
    </w:p>
    <w:p w14:paraId="546B5653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；每年度期权股份分红发放时间为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公司年度财务结算后一个月内发放。</w:t>
      </w:r>
    </w:p>
    <w:p w14:paraId="34DB964E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；本协议期满后若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公司年销售额达成约定目标，则乙方享受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公司的期权股份立即转为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公司的注册股份，甲方按双方约定办理乙方的期权股份转注册股份相关手续，期限为服务期截止日后的一个月内。</w:t>
      </w:r>
    </w:p>
    <w:p w14:paraId="6721F43E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；本协议期满后若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公司年销售额未达成约定目标，则甲方不需要将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公司的期权股份转让给乙方，而乙方应该按照自身的期权股份同比例转让给甲方，甲乙双方按双方约定办理甲方的期权股份转注册股份相关手续，期限为服务期截止日后的一个月内。</w:t>
      </w:r>
    </w:p>
    <w:p w14:paraId="1CA3DA6C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。</w:t>
      </w:r>
    </w:p>
    <w:p w14:paraId="54FF2A4A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第四条：乙方薪酬支付方式</w:t>
      </w:r>
    </w:p>
    <w:p w14:paraId="5C06368B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乙方薪酬方案设计（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年度）</w:t>
      </w:r>
    </w:p>
    <w:p w14:paraId="75674E48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；在实现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年度目标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万元的前提下提成总额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万元，但为鼓励乙方向更高目标冲刺，甲方还设定了冲刺目标，如实现冲刺目标再给予乙方</w:t>
      </w:r>
      <w:r>
        <w:rPr>
          <w:rFonts w:hint="eastAsia"/>
          <w:szCs w:val="21"/>
        </w:rPr>
        <w:t xml:space="preserve">   %</w:t>
      </w:r>
      <w:r>
        <w:rPr>
          <w:rFonts w:hint="eastAsia"/>
          <w:szCs w:val="21"/>
        </w:rPr>
        <w:t>的提成比例。</w:t>
      </w:r>
    </w:p>
    <w:p w14:paraId="17330D8E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；岗位固定工资按月度发放，发放时间以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公司工资发放日为准。</w:t>
      </w:r>
    </w:p>
    <w:p w14:paraId="1C9BBB8F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年乙方的薪酬发放形式仍然按照上述方法进行推算与发放，具体由甲乙双方共同协商。</w:t>
      </w:r>
    </w:p>
    <w:p w14:paraId="1D770E8E" w14:textId="77777777" w:rsidR="00C144EA" w:rsidRDefault="00C144EA">
      <w:pPr>
        <w:jc w:val="left"/>
        <w:rPr>
          <w:rFonts w:hint="eastAsia"/>
          <w:b/>
          <w:bCs/>
          <w:szCs w:val="21"/>
        </w:rPr>
      </w:pPr>
    </w:p>
    <w:p w14:paraId="7B761A80" w14:textId="77777777" w:rsidR="00C144EA" w:rsidRDefault="00C144EA">
      <w:pPr>
        <w:jc w:val="left"/>
        <w:rPr>
          <w:rFonts w:hint="eastAsia"/>
          <w:b/>
          <w:bCs/>
          <w:szCs w:val="21"/>
        </w:rPr>
      </w:pPr>
    </w:p>
    <w:p w14:paraId="7CE39430" w14:textId="77777777" w:rsidR="00C144EA" w:rsidRDefault="00C144EA">
      <w:pPr>
        <w:jc w:val="left"/>
        <w:rPr>
          <w:rFonts w:hint="eastAsia"/>
          <w:b/>
          <w:bCs/>
          <w:szCs w:val="21"/>
        </w:rPr>
      </w:pPr>
    </w:p>
    <w:p w14:paraId="41B8E0A9" w14:textId="77777777" w:rsidR="00C144EA" w:rsidRDefault="00C144EA">
      <w:pPr>
        <w:jc w:val="left"/>
        <w:rPr>
          <w:rFonts w:hint="eastAsia"/>
          <w:b/>
          <w:bCs/>
          <w:szCs w:val="21"/>
        </w:rPr>
      </w:pPr>
    </w:p>
    <w:p w14:paraId="6C8F8A89" w14:textId="77777777" w:rsidR="00C144EA" w:rsidRDefault="00C144EA">
      <w:pPr>
        <w:jc w:val="left"/>
        <w:rPr>
          <w:rFonts w:hint="eastAsia"/>
          <w:b/>
          <w:bCs/>
          <w:szCs w:val="21"/>
        </w:rPr>
      </w:pPr>
    </w:p>
    <w:p w14:paraId="59C28D20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第五条：甲方权利及义务</w:t>
      </w:r>
    </w:p>
    <w:p w14:paraId="17ACD912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cs="Calibri"/>
          <w:b/>
          <w:bCs/>
          <w:szCs w:val="21"/>
        </w:rPr>
        <w:t>①</w:t>
      </w:r>
      <w:r>
        <w:rPr>
          <w:rFonts w:hint="eastAsia"/>
          <w:b/>
          <w:bCs/>
          <w:szCs w:val="21"/>
        </w:rPr>
        <w:t>甲方权利</w:t>
      </w:r>
    </w:p>
    <w:p w14:paraId="5D105636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：协议生效期间，甲方有权利对企业重大事件决策拥有决策权。</w:t>
      </w:r>
    </w:p>
    <w:p w14:paraId="56C84B2E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：甲方有权根据时间节点对乙方工作成果做检验。</w:t>
      </w:r>
    </w:p>
    <w:p w14:paraId="5CF8FD53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：甲方拥有对超过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万元（大写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）的资金支出拥有审批权。</w:t>
      </w:r>
    </w:p>
    <w:p w14:paraId="571B3C48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：甲方拥有对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公司年度规划的最终审批权。</w:t>
      </w:r>
    </w:p>
    <w:p w14:paraId="4AE47BE9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cs="Calibri"/>
          <w:b/>
          <w:bCs/>
          <w:szCs w:val="21"/>
        </w:rPr>
        <w:t>②</w:t>
      </w:r>
      <w:r>
        <w:rPr>
          <w:rFonts w:hint="eastAsia"/>
          <w:b/>
          <w:bCs/>
          <w:szCs w:val="21"/>
        </w:rPr>
        <w:t>甲方义务</w:t>
      </w:r>
    </w:p>
    <w:p w14:paraId="3A7266BF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：协议生效期间，甲方需在包括但不限于企业管理、运营、营销、财务等方面全力配合乙方更好的完成工作。</w:t>
      </w:r>
    </w:p>
    <w:p w14:paraId="51DC83B4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：甲方需配合乙方完成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公司高层、中层及以下人事任免工作。</w:t>
      </w:r>
    </w:p>
    <w:p w14:paraId="13B573D3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：甲方有义务向乙方提供所有企业相关信息及资料。</w:t>
      </w:r>
    </w:p>
    <w:p w14:paraId="33291A8E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第六条：乙方权利及义务</w:t>
      </w:r>
    </w:p>
    <w:p w14:paraId="4AEC7634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cs="Calibri"/>
          <w:b/>
          <w:bCs/>
          <w:szCs w:val="21"/>
        </w:rPr>
        <w:t>①</w:t>
      </w:r>
      <w:r>
        <w:rPr>
          <w:rFonts w:hint="eastAsia"/>
          <w:b/>
          <w:bCs/>
          <w:szCs w:val="21"/>
        </w:rPr>
        <w:t>乙方权利</w:t>
      </w:r>
    </w:p>
    <w:p w14:paraId="6C7F80B4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：协议生效期间，乙方绝对拥有对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公司包括但不限于营销团队的编制调整、业务流程梳理、各类制度、企业文化、各岗位薪酬与考核等方面的调整与修改权。</w:t>
      </w:r>
    </w:p>
    <w:p w14:paraId="72797518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：乙方拥有对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公司高、中、基层员工的招聘、任命、解聘权。</w:t>
      </w:r>
    </w:p>
    <w:p w14:paraId="388E15BA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：乙方拥有对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公司财务所以情况的知晓权。</w:t>
      </w:r>
    </w:p>
    <w:p w14:paraId="3DE44BB9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：乙方拥有对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公司新业务开展的参与和控制权。</w:t>
      </w:r>
    </w:p>
    <w:p w14:paraId="7A39D929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cs="Calibri"/>
          <w:b/>
          <w:bCs/>
          <w:szCs w:val="21"/>
        </w:rPr>
        <w:t>②</w:t>
      </w:r>
      <w:r>
        <w:rPr>
          <w:rFonts w:hint="eastAsia"/>
          <w:b/>
          <w:bCs/>
          <w:szCs w:val="21"/>
        </w:rPr>
        <w:t>乙方义务</w:t>
      </w:r>
    </w:p>
    <w:p w14:paraId="184CFBBF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：协议生效期间，乙方需遵守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公司的规章制度。</w:t>
      </w:r>
    </w:p>
    <w:p w14:paraId="5C629FFB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：乙方应利用专业经验和应有的职业审慎，对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公司进行全面有效的管理。</w:t>
      </w:r>
    </w:p>
    <w:p w14:paraId="4EA058F8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：乙方不得以任何形式向第三方透露任何有关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公司的内部信息。</w:t>
      </w:r>
    </w:p>
    <w:p w14:paraId="7881F470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第七条：协议解除</w:t>
      </w:r>
    </w:p>
    <w:p w14:paraId="2C8B5E6E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公司销售额出现明显下滑且无任何提升改变（不含非抗力客观因素），甲方可提前解除协议。</w:t>
      </w:r>
    </w:p>
    <w:p w14:paraId="79B2719B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：乙方出现严重违反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公司制度并对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公司造成重大损失，甲方有权提前解除协议。</w:t>
      </w:r>
    </w:p>
    <w:p w14:paraId="4DBD4ABB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：甲乙双方经协商一致，可提前解除协议。</w:t>
      </w:r>
    </w:p>
    <w:p w14:paraId="71E8D8D9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第八条：违约责任</w:t>
      </w:r>
    </w:p>
    <w:p w14:paraId="0CD3F2C6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本协议对签约双方具有平等的法律效力，若任何一方未能履行其在本协议项下的义务或保证，除非依照法律规定可以免责，违约方应向协议对方无条件转让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公司</w:t>
      </w:r>
      <w:r>
        <w:rPr>
          <w:rFonts w:hint="eastAsia"/>
          <w:szCs w:val="21"/>
        </w:rPr>
        <w:t xml:space="preserve">   %</w:t>
      </w:r>
      <w:r>
        <w:rPr>
          <w:rFonts w:hint="eastAsia"/>
          <w:szCs w:val="21"/>
        </w:rPr>
        <w:t>的公司注册股份。</w:t>
      </w:r>
    </w:p>
    <w:p w14:paraId="3A1545CF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第九条：责任免除</w:t>
      </w:r>
    </w:p>
    <w:p w14:paraId="5D23F2A9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如因不可抗力或与国家政策法律法规的规定有冲突，致使本协议部分条款无法得到履行，则甲乙双方均无需承担违约责任。</w:t>
      </w:r>
    </w:p>
    <w:p w14:paraId="47211CC7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第十条：争议的解决</w:t>
      </w:r>
    </w:p>
    <w:p w14:paraId="5C59E0E6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：与本协议有效性、履行、违约及解除等有关争议，双方应友好协商解决。</w:t>
      </w:r>
    </w:p>
    <w:p w14:paraId="7F15B2E4" w14:textId="77777777" w:rsidR="00C144EA" w:rsidRDefault="00C144EA">
      <w:pPr>
        <w:jc w:val="left"/>
        <w:rPr>
          <w:rFonts w:ascii="Arial" w:hAnsi="Arial" w:cs="Arial"/>
          <w:color w:val="333333"/>
          <w:sz w:val="24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：如果协商不成，则任何一方均可申请仲裁或向有管辖权的人民法院提起诉讼。</w:t>
      </w:r>
    </w:p>
    <w:p w14:paraId="7E7CBEC6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十一条：其他事项</w:t>
      </w:r>
    </w:p>
    <w:p w14:paraId="12AFAC24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：乙方对甲方提供的资料和信息承担保密义务，如需公开、援引或向其他第三方提供，需经甲方同意。</w:t>
      </w:r>
    </w:p>
    <w:p w14:paraId="786B9E71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：其他未尽事宜双方自行协商确定。</w:t>
      </w:r>
    </w:p>
    <w:p w14:paraId="53AA4C30" w14:textId="77777777" w:rsidR="00C144EA" w:rsidRDefault="00C144EA">
      <w:pPr>
        <w:jc w:val="left"/>
        <w:rPr>
          <w:rFonts w:hint="eastAsia"/>
          <w:b/>
          <w:bCs/>
          <w:szCs w:val="21"/>
        </w:rPr>
      </w:pPr>
    </w:p>
    <w:p w14:paraId="4739A015" w14:textId="77777777" w:rsidR="00C144EA" w:rsidRDefault="00C144EA">
      <w:pPr>
        <w:jc w:val="left"/>
        <w:rPr>
          <w:rFonts w:hint="eastAsia"/>
          <w:b/>
          <w:bCs/>
          <w:szCs w:val="21"/>
        </w:rPr>
      </w:pPr>
    </w:p>
    <w:p w14:paraId="08BF2CE2" w14:textId="77777777" w:rsidR="00C144EA" w:rsidRDefault="00C144EA">
      <w:pPr>
        <w:jc w:val="left"/>
        <w:rPr>
          <w:rFonts w:hint="eastAsia"/>
          <w:b/>
          <w:bCs/>
          <w:szCs w:val="21"/>
        </w:rPr>
      </w:pPr>
    </w:p>
    <w:p w14:paraId="2929991E" w14:textId="77777777" w:rsidR="00C144EA" w:rsidRDefault="00C144EA">
      <w:pPr>
        <w:jc w:val="left"/>
        <w:rPr>
          <w:rFonts w:hint="eastAsia"/>
          <w:b/>
          <w:bCs/>
          <w:szCs w:val="21"/>
        </w:rPr>
      </w:pPr>
    </w:p>
    <w:p w14:paraId="3BE3E486" w14:textId="77777777" w:rsidR="00C144EA" w:rsidRDefault="00C144EA"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第十二条：附则</w:t>
      </w:r>
    </w:p>
    <w:p w14:paraId="30C2AD3E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：本协议自双方授权代表签字盖章之日起生效。</w:t>
      </w:r>
    </w:p>
    <w:p w14:paraId="377CDEB8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：本协议如有附件，则与本协议具有同等法律效力，自双方签字盖章起生效。</w:t>
      </w:r>
    </w:p>
    <w:p w14:paraId="4C78FF5A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：本协议一式三份，双方各执一份，并具有同等法律效力。</w:t>
      </w:r>
    </w:p>
    <w:p w14:paraId="58E8F69C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</w:p>
    <w:p w14:paraId="7C49B37B" w14:textId="77777777" w:rsidR="00C144EA" w:rsidRDefault="00C144EA">
      <w:pPr>
        <w:jc w:val="left"/>
        <w:rPr>
          <w:rFonts w:hint="eastAsia"/>
          <w:szCs w:val="21"/>
        </w:rPr>
      </w:pPr>
    </w:p>
    <w:p w14:paraId="32777CB5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甲方：</w:t>
      </w:r>
      <w:r>
        <w:rPr>
          <w:rFonts w:hint="eastAsia"/>
          <w:szCs w:val="21"/>
        </w:rPr>
        <w:t xml:space="preserve">                                  </w:t>
      </w:r>
      <w:r>
        <w:rPr>
          <w:rFonts w:hint="eastAsia"/>
          <w:szCs w:val="21"/>
        </w:rPr>
        <w:t>乙方：</w:t>
      </w:r>
    </w:p>
    <w:p w14:paraId="2CF7EB85" w14:textId="77777777" w:rsidR="00C144EA" w:rsidRDefault="00C144E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日期：</w:t>
      </w:r>
      <w:r>
        <w:rPr>
          <w:rFonts w:hint="eastAsia"/>
          <w:szCs w:val="21"/>
        </w:rPr>
        <w:t xml:space="preserve">                                  </w:t>
      </w:r>
      <w:r>
        <w:rPr>
          <w:rFonts w:hint="eastAsia"/>
          <w:szCs w:val="21"/>
        </w:rPr>
        <w:t>日期：</w:t>
      </w:r>
    </w:p>
    <w:sectPr w:rsidR="00C144E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72A31" w14:textId="77777777" w:rsidR="00C144EA" w:rsidRDefault="00C144EA" w:rsidP="008104A3">
      <w:r>
        <w:separator/>
      </w:r>
    </w:p>
  </w:endnote>
  <w:endnote w:type="continuationSeparator" w:id="0">
    <w:p w14:paraId="0E80A3B3" w14:textId="77777777" w:rsidR="00C144EA" w:rsidRDefault="00C144EA" w:rsidP="00810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228A6" w14:textId="77777777" w:rsidR="00C144EA" w:rsidRDefault="00C144EA" w:rsidP="008104A3">
      <w:r>
        <w:separator/>
      </w:r>
    </w:p>
  </w:footnote>
  <w:footnote w:type="continuationSeparator" w:id="0">
    <w:p w14:paraId="66B68291" w14:textId="77777777" w:rsidR="00C144EA" w:rsidRDefault="00C144EA" w:rsidP="00810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47FC8"/>
    <w:multiLevelType w:val="singleLevel"/>
    <w:tmpl w:val="65047FC8"/>
    <w:lvl w:ilvl="0">
      <w:start w:val="1"/>
      <w:numFmt w:val="decimal"/>
      <w:suff w:val="space"/>
      <w:lvlText w:val="%1、"/>
      <w:lvlJc w:val="left"/>
    </w:lvl>
  </w:abstractNum>
  <w:num w:numId="1" w16cid:durableId="203707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4A3"/>
    <w:rsid w:val="008104A3"/>
    <w:rsid w:val="00C144EA"/>
    <w:rsid w:val="0A593715"/>
    <w:rsid w:val="5B4419CE"/>
    <w:rsid w:val="6E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7A63B"/>
  <w15:chartTrackingRefBased/>
  <w15:docId w15:val="{C7C52B35-AA9F-4FB9-A3AA-415819EE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8104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104A3"/>
    <w:rPr>
      <w:rFonts w:ascii="Calibri" w:hAnsi="Calibri"/>
      <w:kern w:val="2"/>
      <w:sz w:val="18"/>
      <w:szCs w:val="18"/>
    </w:rPr>
  </w:style>
  <w:style w:type="paragraph" w:styleId="a7">
    <w:name w:val="footer"/>
    <w:basedOn w:val="a"/>
    <w:link w:val="a8"/>
    <w:rsid w:val="008104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104A3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1824</Characters>
  <Application>Microsoft Office Word</Application>
  <DocSecurity>4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2052-10.1.0.7670</vt:lpwstr>
  </property>
</Properties>
</file>