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0BD" w:rsidRDefault="00B310B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（企业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B310BD" w:rsidRDefault="00B310B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310BD" w:rsidRDefault="00B310B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310BD" w:rsidRDefault="00B310B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上缴利润递增包干合同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（简称甲方），地址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（简称乙方）；地址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企业经营者：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经协商签订本合同。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一、承包形式为上缴利润递增包干。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二、承包期限自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三、上缴利润数额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元为上缴利润包干基数，自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年起，按平均每年递增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％的比例上缴利润，即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２．上缴利润后剩余部分，全部留给乙方，由乙方首先归还国家贷款，然后建立生产发展基金、奖励基金和职工福利基金。各项基金的比例为：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2"/>
        <w:gridCol w:w="2110"/>
        <w:gridCol w:w="1771"/>
        <w:gridCol w:w="1771"/>
        <w:gridCol w:w="1772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43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10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生产发展基金</w:t>
            </w: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奖励基金</w:t>
            </w: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福利基金</w:t>
            </w:r>
          </w:p>
        </w:tc>
        <w:tc>
          <w:tcPr>
            <w:tcW w:w="177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43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2110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43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2110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143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2110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1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72" w:type="dxa"/>
            <w:vAlign w:val="center"/>
          </w:tcPr>
          <w:p w:rsidR="00B310BD" w:rsidRDefault="00B310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３．乙方完不成上缴利润时，其差额由乙方用当年留利抵交。不足时，用企业资金抵交。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四、承包期间，乙方保证完成国家的指令性计划：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五、主要经济技术指标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年达到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企业标准，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年达到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企业标准。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２．承包期间，新增固定资产总额为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元，其中，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pStyle w:val="a4"/>
      </w:pPr>
      <w:r>
        <w:t xml:space="preserve">　　３．新产品开发数分别为：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</w:t>
      </w:r>
      <w:r>
        <w:t>个，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</w:t>
      </w:r>
      <w:r>
        <w:t>个，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</w:t>
      </w:r>
      <w:r>
        <w:t>个；主要项目是</w:t>
      </w:r>
      <w:r>
        <w:rPr>
          <w:u w:val="single"/>
        </w:rPr>
        <w:t xml:space="preserve">               </w:t>
      </w:r>
      <w:r>
        <w:rPr>
          <w:u w:val="single"/>
        </w:rPr>
        <w:t xml:space="preserve">                           </w:t>
      </w:r>
      <w:r>
        <w:t>；新产品产值率为：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  </w:t>
      </w:r>
      <w:r>
        <w:t>，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  </w:t>
      </w:r>
      <w:r>
        <w:t>，</w:t>
      </w:r>
      <w:r>
        <w:rPr>
          <w:u w:val="single"/>
        </w:rPr>
        <w:t xml:space="preserve">           </w:t>
      </w:r>
      <w:r>
        <w:t>年</w:t>
      </w:r>
      <w:r>
        <w:rPr>
          <w:u w:val="single"/>
        </w:rPr>
        <w:t xml:space="preserve">         </w:t>
      </w:r>
      <w: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４．承包期间技术改造投资总额共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元，新增总产值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５．承包期间产品质量达到＿＿＿级标准，新创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六、承包期间，甲方有权对乙方的经营管理活动进行监督和检查；有权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承包期间，甲方必须尊重乙方自主权，不干预乙方正常经营活动；并帮助乙方解决下述问题：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七、承包期间，乙方享有国家法律、法规、政策规定的经营管理自主权。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企业经营者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法定代表人，对企业经营管理中的下列事项，有依法自主决定的权利：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（一）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１．甲方无理干扰乙方的生产经营活动，给乙方造成损失的，从上缴利润中扣除赔偿金额。赔偿金的计算方法为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２．甲方不按合同第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条规定为乙方解决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问题时，按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％交付违约金，违约金从上交利润中扣除。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３．乙方未按合同完成上缴利润总额或年度上缴利润额，按下述办法交付违约金：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４．乙方未实现第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条规定的经济技术指标的，按下述办法交纳违约金；未实现企业升级时，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；新增固定资产达不到规定数额时，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；技术改造任务未完成时</w:t>
      </w:r>
      <w:r>
        <w:rPr>
          <w:rFonts w:ascii="宋体"/>
          <w:kern w:val="0"/>
          <w:sz w:val="24"/>
          <w:szCs w:val="20"/>
          <w:lang w:val="zh-CN"/>
        </w:rPr>
        <w:t>,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；产品质量未达到规定标准时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５．乙方承包期间，给企业财产造成损害的，按下述办法支付赔偿金：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……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九、企业经营者的奖惩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乙方完不成承包指标时，分别下列情况对企业经营者进行处罚：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乙方完成或超额完成承包指标时，分别下列情况，对企业经营者进行奖励：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十、合同的变更和解除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十一、争议的解决方式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因本合同发生争议时，双方应协商解决，协商不成时，以下列第＿＿＿种方式解决：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工商局经济合同仲裁委员会仲裁；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法院审判。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时起生效。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合同正本一式２份，甲、乙双方各执一份，副本一式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份，分送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乙方：（公章或个人签章）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企业经营者（签章）：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代理人（签章）：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10BD" w:rsidRDefault="00B310BD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〔说明〕承包方即乙方如是个人时，应在合同最后署个人姓名并盖章，企业经营者（签章）一栏不必填写。</w:t>
      </w:r>
    </w:p>
    <w:sectPr w:rsidR="00B310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0BD" w:rsidRDefault="00B310BD" w:rsidP="004D6637">
      <w:r>
        <w:separator/>
      </w:r>
    </w:p>
  </w:endnote>
  <w:endnote w:type="continuationSeparator" w:id="0">
    <w:p w:rsidR="00B310BD" w:rsidRDefault="00B310BD" w:rsidP="004D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0BD" w:rsidRDefault="00B310BD" w:rsidP="004D6637">
      <w:r>
        <w:separator/>
      </w:r>
    </w:p>
  </w:footnote>
  <w:footnote w:type="continuationSeparator" w:id="0">
    <w:p w:rsidR="00B310BD" w:rsidRDefault="00B310BD" w:rsidP="004D6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75999604">
    <w:abstractNumId w:val="7"/>
  </w:num>
  <w:num w:numId="2" w16cid:durableId="1936815034">
    <w:abstractNumId w:val="4"/>
  </w:num>
  <w:num w:numId="3" w16cid:durableId="176623491">
    <w:abstractNumId w:val="13"/>
  </w:num>
  <w:num w:numId="4" w16cid:durableId="1174414948">
    <w:abstractNumId w:val="2"/>
  </w:num>
  <w:num w:numId="5" w16cid:durableId="81490848">
    <w:abstractNumId w:val="3"/>
  </w:num>
  <w:num w:numId="6" w16cid:durableId="404185860">
    <w:abstractNumId w:val="5"/>
  </w:num>
  <w:num w:numId="7" w16cid:durableId="1753118623">
    <w:abstractNumId w:val="0"/>
  </w:num>
  <w:num w:numId="8" w16cid:durableId="1658728812">
    <w:abstractNumId w:val="16"/>
  </w:num>
  <w:num w:numId="9" w16cid:durableId="1094134746">
    <w:abstractNumId w:val="12"/>
  </w:num>
  <w:num w:numId="10" w16cid:durableId="183523045">
    <w:abstractNumId w:val="14"/>
  </w:num>
  <w:num w:numId="11" w16cid:durableId="1545168467">
    <w:abstractNumId w:val="15"/>
  </w:num>
  <w:num w:numId="12" w16cid:durableId="1330988152">
    <w:abstractNumId w:val="8"/>
  </w:num>
  <w:num w:numId="13" w16cid:durableId="1755513892">
    <w:abstractNumId w:val="11"/>
  </w:num>
  <w:num w:numId="14" w16cid:durableId="258954120">
    <w:abstractNumId w:val="9"/>
  </w:num>
  <w:num w:numId="15" w16cid:durableId="1044598730">
    <w:abstractNumId w:val="6"/>
  </w:num>
  <w:num w:numId="16" w16cid:durableId="1175725431">
    <w:abstractNumId w:val="1"/>
  </w:num>
  <w:num w:numId="17" w16cid:durableId="2048556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DAF"/>
    <w:rsid w:val="00082DAF"/>
    <w:rsid w:val="004D6637"/>
    <w:rsid w:val="00B3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404203E-3104-47B5-AC85-4FC18A8C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D66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663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6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663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3261</Characters>
  <Application>Microsoft Office Word</Application>
  <DocSecurity>4</DocSecurity>
  <Lines>27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