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16C6A" w14:textId="77777777" w:rsidR="00F749A8" w:rsidRDefault="00F749A8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深圳市动产拍卖行委托拍卖合同</w:t>
      </w:r>
    </w:p>
    <w:p w14:paraId="7C78D534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981CA8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090411B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91E8E1D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443EB831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2CF87B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194567DE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AE79AE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3E7ECD5F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998217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委托人（简称甲方）：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19207843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B255E5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0D95E479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6AA4DD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784380E2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B44CB2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邮政编码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2FEF2667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A0F9D0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拍卖人（简称乙方）：深圳市动产拍卖行</w:t>
      </w:r>
    </w:p>
    <w:p w14:paraId="2E9C637A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A0FAAA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住所：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7ABD2033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893991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5F723F06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E8B0BB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邮政编码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45D0D0D2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E7EECA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根据《深圳市动产拍卖暂行规定》和其他有关法规，甲乙双方经协商一致，签订本合同。</w:t>
      </w:r>
    </w:p>
    <w:p w14:paraId="3AC0A7CE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F25D62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甲方愿就下述拍卖物委托乙方依法公开拍卖：</w:t>
      </w:r>
    </w:p>
    <w:p w14:paraId="6BF54061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B3C9E4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拍卖物名称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1E550506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AE7ED0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品种规格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4743BDEA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D9975F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数量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1290D76E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A5481D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质量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34CC605F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99DC34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包装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6CA17980" w14:textId="77777777" w:rsidR="00F749A8" w:rsidRDefault="00F749A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9BF0FB3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存放地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01CA0499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1F0865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拍卖物的交付方式：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</w:p>
    <w:p w14:paraId="4791E7FB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7D5822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拍卖物的估价和底价：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14:paraId="3AAAE2EC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D05804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拍卖方式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</w:t>
      </w:r>
    </w:p>
    <w:p w14:paraId="7BCD7AF3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F2B2E4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拍卖期限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</w:t>
      </w:r>
    </w:p>
    <w:p w14:paraId="3DC59CFC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244650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双方的权利和义务</w:t>
      </w:r>
    </w:p>
    <w:p w14:paraId="47AA51F0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164D16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一、甲方应保证对拍卖物拥有无争议的处分权，并向乙方供有关的证明文件和拍卖物的详尽资料。必要时，乙方可随时向甲方要求提供咨询，甲方不得拒绝。</w:t>
      </w:r>
    </w:p>
    <w:p w14:paraId="2E982A39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988F78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二、甲方可在法律允许的情况下确定拍卖物的底价；乙方不得以低于该底价的价格进行拍卖，但因此而造成不能成交的，由甲方承担责任。</w:t>
      </w:r>
    </w:p>
    <w:p w14:paraId="5DC4C25D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614678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三、甲方在交付拍卖物时，应向乙方指出其知道或应当知道的拍卖物瑕疵。否则，由此造成的后果由甲方负责。</w:t>
      </w:r>
    </w:p>
    <w:p w14:paraId="0ED95DE3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F37D58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四、甲方应向乙方预付受理费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用于对拍卖物进行估价，仓储保管、运输、保验和公告、广告等项费用开支，由乙方按实际开支多退少补。属于《深圳市动产拍卖暂行规定》第十八条、十九条和二十条规定情况的，由乙方先行垫付；其金额在拍卖成交后，从所得价款中扣除。</w:t>
      </w:r>
    </w:p>
    <w:p w14:paraId="6F1C756D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D1DC59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五、根据《深圳市动产拍卖收费规定》，甲方应按成交总金额的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％向乙方支付佣金；该款项也可由乙方从拍卖所得价款中扣除。</w:t>
      </w:r>
    </w:p>
    <w:p w14:paraId="5AFEFEA6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7C089D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六、乙方应对拍卖物的底价保密，不得委托或代理他人参加竞价；亦不得委托他人进行拍卖。</w:t>
      </w:r>
    </w:p>
    <w:p w14:paraId="48632E80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FBB892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七、乙方对其占管的拍卖物负适当保管责任，并应将拍卖物的变动情况及时通知甲方；确因乙方的过错而造成拍卖物损失的，由乙方负赔偿责任。</w:t>
      </w:r>
    </w:p>
    <w:p w14:paraId="16E48B3D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BE609A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八、拍卖过程结束，乙方在收齐全部应收款项后，应通过其银行帐户，将拍卖所得价金一次全部付给甲方，不得延误。</w:t>
      </w:r>
    </w:p>
    <w:p w14:paraId="1A8CCBB0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6EED50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九、对需要征税的拍卖物，由甲方交付税金；经税务机关同意，税金可以拍卖所得价款中取得。</w:t>
      </w:r>
    </w:p>
    <w:p w14:paraId="0892EFC1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0482DA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十、拍卖成交后，由乙方按成交价金开给竞买人发票或符合税务机关规定的收据。</w:t>
      </w:r>
    </w:p>
    <w:p w14:paraId="301CA077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44C2B5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有关拍卖程序的中止和终止问题，根据《深圳市动产拍卖暂行规定》第四十二条、四十三条之规定予以处理。</w:t>
      </w:r>
    </w:p>
    <w:p w14:paraId="49EE6C8D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C72C0C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合同经双方签字后生效，不得违约。否则，由违约方向他方按拍卖物底价的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％支付违约金。因合同履行产生纠纷时，任何一方均可向深圳市经济合同仲裁委员会申请仲裁，也可直接向人民法院起诉。</w:t>
      </w:r>
    </w:p>
    <w:p w14:paraId="25F1A57F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66CA82" w14:textId="77777777" w:rsidR="00F749A8" w:rsidRDefault="00F749A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其他需要约定的事项：</w:t>
      </w:r>
    </w:p>
    <w:p w14:paraId="7C73C11A" w14:textId="77777777" w:rsidR="00F749A8" w:rsidRDefault="00F749A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14:paraId="7FC40784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1E614393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146A122E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4835E5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第十条本合同有效期自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日始，至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14:paraId="21485B19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DB9DCE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附件：有关拍卖物的证明文件及资料影印件共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件</w:t>
      </w:r>
    </w:p>
    <w:p w14:paraId="5741CBDD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36CA02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14:paraId="5AF077B5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2D3172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14:paraId="1ECEC253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01B0CE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14:paraId="44E8DA0E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021172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4E640B65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15F862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委托人代表（盖章）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拍卖人代表（盖章）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38E6A783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B51340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54B03CBD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170B3C" w14:textId="77777777" w:rsidR="00F749A8" w:rsidRDefault="00F749A8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帐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sectPr w:rsidR="00F749A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1A8D6" w14:textId="77777777" w:rsidR="00F749A8" w:rsidRDefault="00F749A8" w:rsidP="001C3803">
      <w:r>
        <w:separator/>
      </w:r>
    </w:p>
  </w:endnote>
  <w:endnote w:type="continuationSeparator" w:id="0">
    <w:p w14:paraId="054313A9" w14:textId="77777777" w:rsidR="00F749A8" w:rsidRDefault="00F749A8" w:rsidP="001C3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53DB2" w14:textId="77777777" w:rsidR="00F749A8" w:rsidRDefault="00F749A8" w:rsidP="001C3803">
      <w:r>
        <w:separator/>
      </w:r>
    </w:p>
  </w:footnote>
  <w:footnote w:type="continuationSeparator" w:id="0">
    <w:p w14:paraId="74EF5C61" w14:textId="77777777" w:rsidR="00F749A8" w:rsidRDefault="00F749A8" w:rsidP="001C3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841506331">
    <w:abstractNumId w:val="7"/>
  </w:num>
  <w:num w:numId="2" w16cid:durableId="11037772">
    <w:abstractNumId w:val="4"/>
  </w:num>
  <w:num w:numId="3" w16cid:durableId="1530021817">
    <w:abstractNumId w:val="14"/>
  </w:num>
  <w:num w:numId="4" w16cid:durableId="1120104428">
    <w:abstractNumId w:val="2"/>
  </w:num>
  <w:num w:numId="5" w16cid:durableId="1841121396">
    <w:abstractNumId w:val="3"/>
  </w:num>
  <w:num w:numId="6" w16cid:durableId="1543715138">
    <w:abstractNumId w:val="5"/>
  </w:num>
  <w:num w:numId="7" w16cid:durableId="1294288104">
    <w:abstractNumId w:val="0"/>
  </w:num>
  <w:num w:numId="8" w16cid:durableId="986937078">
    <w:abstractNumId w:val="17"/>
  </w:num>
  <w:num w:numId="9" w16cid:durableId="495457153">
    <w:abstractNumId w:val="13"/>
  </w:num>
  <w:num w:numId="10" w16cid:durableId="2092924739">
    <w:abstractNumId w:val="15"/>
  </w:num>
  <w:num w:numId="11" w16cid:durableId="139542702">
    <w:abstractNumId w:val="16"/>
  </w:num>
  <w:num w:numId="12" w16cid:durableId="359360119">
    <w:abstractNumId w:val="8"/>
  </w:num>
  <w:num w:numId="13" w16cid:durableId="840971142">
    <w:abstractNumId w:val="12"/>
  </w:num>
  <w:num w:numId="14" w16cid:durableId="1568295354">
    <w:abstractNumId w:val="10"/>
  </w:num>
  <w:num w:numId="15" w16cid:durableId="810634706">
    <w:abstractNumId w:val="6"/>
  </w:num>
  <w:num w:numId="16" w16cid:durableId="734741738">
    <w:abstractNumId w:val="1"/>
  </w:num>
  <w:num w:numId="17" w16cid:durableId="187178534">
    <w:abstractNumId w:val="11"/>
  </w:num>
  <w:num w:numId="18" w16cid:durableId="1387992713">
    <w:abstractNumId w:val="9"/>
  </w:num>
  <w:num w:numId="19" w16cid:durableId="9732139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4E4B"/>
    <w:rsid w:val="001C3803"/>
    <w:rsid w:val="003E4E4B"/>
    <w:rsid w:val="00F7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5F27B6A8"/>
  <w15:chartTrackingRefBased/>
  <w15:docId w15:val="{D998A79B-F4F6-445B-BEF2-018ACFA6F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1C38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C380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C38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C380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423</Words>
  <Characters>2414</Characters>
  <Application>Microsoft Office Word</Application>
  <DocSecurity>4</DocSecurity>
  <Lines>20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