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8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48DD4" w:themeColor="text2" w:themeTint="99"/>
          <w:sz w:val="22"/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2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此链接</w:t>
      </w:r>
      <w:r>
        <w:rPr>
          <w:rStyle w:val="8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</w:t>
      </w:r>
      <w:bookmarkStart w:id="0" w:name="_GoBack"/>
      <w:bookmarkEnd w:id="0"/>
      <w:r>
        <w:rPr>
          <w:rFonts w:hint="eastAsia" w:ascii="Times New Roman" w:hAnsi="Times New Roman" w:cs="Times New Roman"/>
          <w:sz w:val="22"/>
        </w:rPr>
        <w:t>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下载此数据集</w:t>
      </w:r>
      <w:r>
        <w:rPr>
          <w:rStyle w:val="8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优达学城</w:t>
      </w:r>
    </w:p>
    <w:p>
      <w:pPr>
        <w:rPr>
          <w:rFonts w:hint="eastAsia"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2016年9月</w:t>
      </w:r>
    </w:p>
    <w:p>
      <w:pPr>
        <w:rPr>
          <w:rFonts w:hint="eastAsia" w:ascii="Times New Roman" w:hAnsi="Times New Roman" w:cs="Times New Roman"/>
          <w:sz w:val="22"/>
        </w:rPr>
      </w:pPr>
    </w:p>
    <w:p>
      <w:pPr>
        <w:rPr>
          <w:rFonts w:hint="eastAsia" w:ascii="Times New Roman" w:hAnsi="Times New Roman" w:cs="Times New Roman"/>
          <w:sz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Congruent,Incongruent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12.079,19.278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16.791,18.741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9.564,21.214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8.630,15.687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14.669,22.803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12.238,20.878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14.692,24.572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8.987,17.394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9.401,20.762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14.480,26.282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22.328,24.524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15.298,18.644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15.073,17.510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16.929,20.330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18.200,35.255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12.130,22.158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18.495,25.139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10.639,20.429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11.344,17.425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12.369,34.288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12.944,23.894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14.233,17.960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19.710,22.058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16.004,21.157</w:t>
      </w:r>
    </w:p>
    <w:p>
      <w:pPr>
        <w:rPr>
          <w:rFonts w:hint="eastAsia" w:ascii="Times New Roman" w:hAnsi="Times New Roman" w:cs="Times New Roman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  <w:rsid w:val="2E836B09"/>
    <w:rsid w:val="473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10">
    <w:name w:val="Header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172</Words>
  <Characters>983</Characters>
  <Lines>8</Lines>
  <Paragraphs>2</Paragraphs>
  <TotalTime>0</TotalTime>
  <ScaleCrop>false</ScaleCrop>
  <LinksUpToDate>false</LinksUpToDate>
  <CharactersWithSpaces>1153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沈祚鑫</cp:lastModifiedBy>
  <dcterms:modified xsi:type="dcterms:W3CDTF">2018-07-10T13:22:53Z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