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KENNION BUYER LIST</w:t>
      </w:r>
    </w:p>
    <w:p>
      <w:pPr>
        <w:spacing w:after="80"/>
        <w:jc w:val="center"/>
      </w:pPr>
      <w:r>
        <w:rPr>
          <w:i/>
          <w:sz w:val="18"/>
        </w:rPr>
        <w:t>April 30,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360"/>
          </w:tcPr>
          <w:p>
            <w:pPr>
              <w:spacing w:before="20" w:after="20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b/>
                <w:sz w:val="18"/>
              </w:rPr>
              <w:t>Firm / HQ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b/>
                <w:sz w:val="18"/>
              </w:rPr>
              <w:t>Size</w:t>
            </w:r>
          </w:p>
        </w:tc>
        <w:tc>
          <w:tcPr>
            <w:tcW w:type="dxa" w:w="4824"/>
          </w:tcPr>
          <w:p>
            <w:pPr>
              <w:spacing w:before="20" w:after="20"/>
            </w:pPr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36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6"/>
              </w:rPr>
              <w:t>Hub International / Chicago, IL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sz w:val="16"/>
              </w:rPr>
              <w:t>$4.8B rev / 20,000 / 570+ offices</w:t>
            </w:r>
          </w:p>
        </w:tc>
        <w:tc>
          <w:tcPr>
            <w:tcW w:type="dxa" w:w="4824"/>
          </w:tcPr>
          <w:p>
            <w:pPr>
              <w:spacing w:before="20" w:after="20"/>
            </w:pPr>
            <w:r>
              <w:rPr>
                <w:sz w:val="16"/>
              </w:rPr>
              <w:t>PE-backed (H&amp;F). National consolidator. Likely top-3 bidder.</w:t>
            </w:r>
          </w:p>
        </w:tc>
      </w:tr>
      <w:tr>
        <w:tc>
          <w:tcPr>
            <w:tcW w:type="dxa" w:w="360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6"/>
              </w:rPr>
              <w:t>Alliant / Irvine, CA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sz w:val="16"/>
              </w:rPr>
              <w:t>$4.2B rev / 14,000+ / 100+ offices</w:t>
            </w:r>
          </w:p>
        </w:tc>
        <w:tc>
          <w:tcPr>
            <w:tcW w:type="dxa" w:w="4824"/>
          </w:tcPr>
          <w:p>
            <w:pPr>
              <w:spacing w:before="20" w:after="20"/>
            </w:pPr>
            <w:r>
              <w:rPr>
                <w:sz w:val="16"/>
              </w:rPr>
              <w:t>PE-backed (Stone Point). Diversified, less benefits-heavy.</w:t>
            </w:r>
          </w:p>
        </w:tc>
      </w:tr>
      <w:tr>
        <w:tc>
          <w:tcPr>
            <w:tcW w:type="dxa" w:w="36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6"/>
              </w:rPr>
              <w:t>Baldwin Group / CAC (Hunter add) / Tampa, FL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sz w:val="16"/>
              </w:rPr>
              <w:t>$1.5B rev / 5,020 / Public (BWIN)</w:t>
            </w:r>
          </w:p>
        </w:tc>
        <w:tc>
          <w:tcPr>
            <w:tcW w:type="dxa" w:w="4824"/>
          </w:tcPr>
          <w:p>
            <w:pPr>
              <w:spacing w:before="20" w:after="20"/>
            </w:pPr>
            <w:r>
              <w:rPr>
                <w:sz w:val="16"/>
              </w:rPr>
              <w:t>CAC = Cobbs Allen, Birmingham roots. Bobby flagged stock pressure limiting M&amp;A.</w:t>
            </w:r>
          </w:p>
        </w:tc>
      </w:tr>
      <w:tr>
        <w:tc>
          <w:tcPr>
            <w:tcW w:type="dxa" w:w="360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6"/>
              </w:rPr>
              <w:t>Cottingham &amp; Butler / Dubuque, IA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sz w:val="16"/>
              </w:rPr>
              <w:t>$1.2B rev / 1,300+ / 35 offices</w:t>
            </w:r>
          </w:p>
        </w:tc>
        <w:tc>
          <w:tcPr>
            <w:tcW w:type="dxa" w:w="4824"/>
          </w:tcPr>
          <w:p>
            <w:pPr>
              <w:spacing w:before="20" w:after="20"/>
            </w:pPr>
            <w:r>
              <w:rPr>
                <w:sz w:val="16"/>
              </w:rPr>
              <w:t>Private (no PE). Captive specialist. Strong strategic fit.</w:t>
            </w:r>
          </w:p>
        </w:tc>
      </w:tr>
      <w:tr>
        <w:tc>
          <w:tcPr>
            <w:tcW w:type="dxa" w:w="360"/>
          </w:tcPr>
          <w:p>
            <w:pPr>
              <w:spacing w:before="20" w:after="20"/>
            </w:pPr>
            <w:r>
              <w:rPr>
                <w:sz w:val="16"/>
              </w:rPr>
              <w:t>5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6"/>
              </w:rPr>
              <w:t>OneDigital / Atlanta, GA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sz w:val="16"/>
              </w:rPr>
              <w:t>$870M rev / 3,200-3,500 / 125 offices</w:t>
            </w:r>
          </w:p>
        </w:tc>
        <w:tc>
          <w:tcPr>
            <w:tcW w:type="dxa" w:w="4824"/>
          </w:tcPr>
          <w:p>
            <w:pPr>
              <w:spacing w:before="20" w:after="20"/>
            </w:pPr>
            <w:r>
              <w:rPr>
                <w:sz w:val="16"/>
              </w:rPr>
              <w:t>PE-backed (Onex / New Mountain). Pure benefits. Best targeted distribution.</w:t>
            </w:r>
          </w:p>
        </w:tc>
      </w:tr>
      <w:tr>
        <w:tc>
          <w:tcPr>
            <w:tcW w:type="dxa" w:w="360"/>
          </w:tcPr>
          <w:p>
            <w:pPr>
              <w:spacing w:before="20" w:after="20"/>
            </w:pPr>
            <w:r>
              <w:rPr>
                <w:sz w:val="16"/>
              </w:rPr>
              <w:t>6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6"/>
              </w:rPr>
              <w:t>IMA Financial Group (Hunter add) / Denver, CO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sz w:val="16"/>
              </w:rPr>
              <w:t>~$750M rev / 3,000 / multiple</w:t>
            </w:r>
          </w:p>
        </w:tc>
        <w:tc>
          <w:tcPr>
            <w:tcW w:type="dxa" w:w="4824"/>
          </w:tcPr>
          <w:p>
            <w:pPr>
              <w:spacing w:before="20" w:after="20"/>
            </w:pPr>
            <w:r>
              <w:rPr>
                <w:sz w:val="16"/>
              </w:rPr>
              <w:t>PE-backed (New Mountain). Acquired Valent in Birmingham 10/1/25. 10 deals in 2025.</w:t>
            </w:r>
          </w:p>
        </w:tc>
      </w:tr>
      <w:tr>
        <w:tc>
          <w:tcPr>
            <w:tcW w:type="dxa" w:w="360"/>
          </w:tcPr>
          <w:p>
            <w:pPr>
              <w:spacing w:before="20" w:after="20"/>
            </w:pPr>
            <w:r>
              <w:rPr>
                <w:sz w:val="16"/>
              </w:rPr>
              <w:t>7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6"/>
              </w:rPr>
              <w:t>Higginbotham (Hunter add) / Fort Worth, TX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sz w:val="16"/>
              </w:rPr>
              <w:t>$750M rev / 3,000-4,000 / 140+ offices</w:t>
            </w:r>
          </w:p>
        </w:tc>
        <w:tc>
          <w:tcPr>
            <w:tcW w:type="dxa" w:w="4824"/>
          </w:tcPr>
          <w:p>
            <w:pPr>
              <w:spacing w:before="20" w:after="20"/>
            </w:pPr>
            <w:r>
              <w:rPr>
                <w:sz w:val="16"/>
              </w:rPr>
              <w:t>PE-backed (Stone Point). Mostly P&amp;C. Declined twice informally; retry through formal process.</w:t>
            </w:r>
          </w:p>
        </w:tc>
      </w:tr>
      <w:tr>
        <w:tc>
          <w:tcPr>
            <w:tcW w:type="dxa" w:w="360"/>
          </w:tcPr>
          <w:p>
            <w:pPr>
              <w:spacing w:before="20" w:after="20"/>
            </w:pPr>
            <w:r>
              <w:rPr>
                <w:sz w:val="16"/>
              </w:rPr>
              <w:t>8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6"/>
              </w:rPr>
              <w:t>Brown &amp; Riding / Sherman Oaks, CA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sz w:val="16"/>
              </w:rPr>
              <w:t>~$300M rev / 400+ / national</w:t>
            </w:r>
          </w:p>
        </w:tc>
        <w:tc>
          <w:tcPr>
            <w:tcW w:type="dxa" w:w="4824"/>
          </w:tcPr>
          <w:p>
            <w:pPr>
              <w:spacing w:before="20" w:after="20"/>
            </w:pPr>
            <w:r>
              <w:rPr>
                <w:sz w:val="16"/>
              </w:rPr>
              <w:t>Top 10 wholesale broker. $2.5B premium placed. Reagan thesis to confirm.</w:t>
            </w:r>
          </w:p>
        </w:tc>
      </w:tr>
      <w:tr>
        <w:tc>
          <w:tcPr>
            <w:tcW w:type="dxa" w:w="360"/>
          </w:tcPr>
          <w:p>
            <w:pPr>
              <w:spacing w:before="20" w:after="20"/>
            </w:pPr>
            <w:r>
              <w:rPr>
                <w:sz w:val="16"/>
              </w:rPr>
              <w:t>9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6"/>
              </w:rPr>
              <w:t>Kelly Benefits / Sparks, MD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sz w:val="16"/>
              </w:rPr>
              <w:t>$250M rev / 280 / 4 offices</w:t>
            </w:r>
          </w:p>
        </w:tc>
        <w:tc>
          <w:tcPr>
            <w:tcW w:type="dxa" w:w="4824"/>
          </w:tcPr>
          <w:p>
            <w:pPr>
              <w:spacing w:before="20" w:after="20"/>
            </w:pPr>
            <w:r>
              <w:rPr>
                <w:sz w:val="16"/>
              </w:rPr>
              <w:t>Family-owned (no PE). Mid-Atlantic regional. Cultural fit play.</w:t>
            </w:r>
          </w:p>
        </w:tc>
      </w:tr>
      <w:tr>
        <w:tc>
          <w:tcPr>
            <w:tcW w:type="dxa" w:w="360"/>
          </w:tcPr>
          <w:p>
            <w:pPr>
              <w:spacing w:before="20" w:after="20"/>
            </w:pPr>
            <w:r>
              <w:rPr>
                <w:sz w:val="16"/>
              </w:rPr>
              <w:t>10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6"/>
              </w:rPr>
              <w:t>The Cason Group / Columbia, SC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sz w:val="16"/>
              </w:rPr>
              <w:t>$168M rev / ~233 / 10 offices</w:t>
            </w:r>
          </w:p>
        </w:tc>
        <w:tc>
          <w:tcPr>
            <w:tcW w:type="dxa" w:w="4824"/>
          </w:tcPr>
          <w:p>
            <w:pPr>
              <w:spacing w:before="20" w:after="20"/>
            </w:pPr>
            <w:r>
              <w:rPr>
                <w:sz w:val="16"/>
              </w:rPr>
              <w:t>PE-backed (Truelink). Captive distributor through retail brokers. Direct product overlap.</w:t>
            </w:r>
          </w:p>
        </w:tc>
      </w:tr>
      <w:tr>
        <w:tc>
          <w:tcPr>
            <w:tcW w:type="dxa" w:w="360"/>
          </w:tcPr>
          <w:p>
            <w:pPr>
              <w:spacing w:before="20" w:after="20"/>
            </w:pPr>
            <w:r>
              <w:rPr>
                <w:sz w:val="16"/>
              </w:rPr>
              <w:t>11</w:t>
            </w:r>
          </w:p>
        </w:tc>
        <w:tc>
          <w:tcPr>
            <w:tcW w:type="dxa" w:w="3168"/>
          </w:tcPr>
          <w:p>
            <w:pPr>
              <w:spacing w:before="20" w:after="20"/>
            </w:pPr>
            <w:r>
              <w:rPr>
                <w:sz w:val="16"/>
              </w:rPr>
              <w:t>Oakbridge / Atlanta, GA</w:t>
            </w:r>
          </w:p>
        </w:tc>
        <w:tc>
          <w:tcPr>
            <w:tcW w:type="dxa" w:w="2448"/>
          </w:tcPr>
          <w:p>
            <w:pPr>
              <w:spacing w:before="20" w:after="20"/>
            </w:pPr>
            <w:r>
              <w:rPr>
                <w:sz w:val="16"/>
              </w:rPr>
              <w:t>~$100-150M rev / 313 / 30 offices</w:t>
            </w:r>
          </w:p>
        </w:tc>
        <w:tc>
          <w:tcPr>
            <w:tcW w:type="dxa" w:w="4824"/>
          </w:tcPr>
          <w:p>
            <w:pPr>
              <w:spacing w:before="20" w:after="20"/>
            </w:pPr>
            <w:r>
              <w:rPr>
                <w:sz w:val="16"/>
              </w:rPr>
              <w:t>PE-backed. Southeast regional. Limited national distribution.</w:t>
            </w:r>
          </w:p>
        </w:tc>
      </w:tr>
    </w:tbl>
    <w:p/>
    <w:p>
      <w:pPr>
        <w:spacing w:before="40"/>
        <w:jc w:val="center"/>
      </w:pPr>
      <w:r>
        <w:rPr>
          <w:i/>
          <w:color w:val="808080"/>
          <w:sz w:val="14"/>
        </w:rPr>
        <w:t>Hunter adds: Higginbotham, Baldwin/CAC, IMA  |  CONFIDENTIAL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